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75D3A" w:rsidP="003B561E" w:rsidRDefault="00675D3A" w14:paraId="7483FAFD" w14:textId="77777777">
      <w:pPr>
        <w:ind w:left="720" w:hanging="360"/>
      </w:pPr>
    </w:p>
    <w:p w:rsidRPr="008210E2" w:rsidR="00675D3A" w:rsidP="00D93ADB" w:rsidRDefault="00056875" w14:paraId="593CC99E" w14:textId="29527A8D">
      <w:pPr>
        <w:pStyle w:val="Paragrafoelenco"/>
        <w:numPr>
          <w:ilvl w:val="0"/>
          <w:numId w:val="3"/>
        </w:numPr>
        <w:rPr>
          <w:color w:val="FF0000"/>
          <w:highlight w:val="yellow"/>
          <w:u w:val="single"/>
          <w:lang w:val="it-IT"/>
        </w:rPr>
      </w:pPr>
      <w:r w:rsidRPr="008210E2">
        <w:rPr>
          <w:color w:val="FF0000"/>
          <w:highlight w:val="yellow"/>
          <w:u w:val="single"/>
          <w:lang w:val="it-IT"/>
        </w:rPr>
        <w:t>Reclami</w:t>
      </w:r>
    </w:p>
    <w:p w:rsidR="00056875" w:rsidP="00056875" w:rsidRDefault="00E30E15" w14:paraId="5C917B16" w14:textId="1A5DFBB4">
      <w:pPr>
        <w:rPr>
          <w:lang w:val="it-IT"/>
        </w:rPr>
      </w:pPr>
      <w:r>
        <w:rPr>
          <w:lang w:val="it-IT"/>
        </w:rPr>
        <w:t>“</w:t>
      </w:r>
      <w:r w:rsidRPr="00142285" w:rsidR="00142285">
        <w:rPr>
          <w:lang w:val="it-IT"/>
        </w:rPr>
        <w:t>Su questa pagina</w:t>
      </w:r>
      <w:r w:rsidR="00142285">
        <w:rPr>
          <w:lang w:val="it-IT"/>
        </w:rPr>
        <w:t xml:space="preserve"> è possibile trovare </w:t>
      </w:r>
      <w:r w:rsidR="00E14E4E">
        <w:rPr>
          <w:lang w:val="it-IT"/>
        </w:rPr>
        <w:t>i moduli per inoltra ad Alpiq Energia Italia i vostri reclami</w:t>
      </w:r>
    </w:p>
    <w:p w:rsidRPr="008C7E78" w:rsidR="00E14E4E" w:rsidP="008C7E78" w:rsidRDefault="009062EF" w14:paraId="20D0AA7F" w14:textId="6A28A44B">
      <w:pPr>
        <w:pStyle w:val="Paragrafoelenco"/>
        <w:numPr>
          <w:ilvl w:val="0"/>
          <w:numId w:val="16"/>
        </w:numPr>
        <w:rPr>
          <w:color w:val="156082" w:themeColor="accent1"/>
          <w:lang w:val="it-IT"/>
        </w:rPr>
      </w:pPr>
      <w:r w:rsidRPr="008C7E78">
        <w:rPr>
          <w:color w:val="156082" w:themeColor="accent1"/>
          <w:lang w:val="it-IT"/>
        </w:rPr>
        <w:t xml:space="preserve">Pdf: </w:t>
      </w:r>
      <w:r w:rsidR="00E9573A">
        <w:rPr>
          <w:color w:val="156082" w:themeColor="accent1"/>
          <w:lang w:val="it-IT"/>
        </w:rPr>
        <w:t>Modulo Reclami Alpiq Energia Italia</w:t>
      </w:r>
    </w:p>
    <w:p w:rsidRPr="008C7E78" w:rsidR="009062EF" w:rsidP="008C7E78" w:rsidRDefault="009062EF" w14:paraId="25E84AF4" w14:textId="1C6C2914">
      <w:pPr>
        <w:pStyle w:val="Paragrafoelenco"/>
        <w:numPr>
          <w:ilvl w:val="0"/>
          <w:numId w:val="16"/>
        </w:numPr>
        <w:rPr>
          <w:color w:val="156082" w:themeColor="accent1"/>
          <w:lang w:val="it-IT"/>
        </w:rPr>
      </w:pPr>
      <w:r w:rsidRPr="008C7E78">
        <w:rPr>
          <w:color w:val="156082" w:themeColor="accent1"/>
          <w:lang w:val="it-IT"/>
        </w:rPr>
        <w:t xml:space="preserve">Pdf: </w:t>
      </w:r>
      <w:r w:rsidR="00E9573A">
        <w:rPr>
          <w:color w:val="156082" w:themeColor="accent1"/>
          <w:lang w:val="it-IT"/>
        </w:rPr>
        <w:t xml:space="preserve">Modulo Reclami Alpiq Energia </w:t>
      </w:r>
      <w:proofErr w:type="spellStart"/>
      <w:r w:rsidR="00E9573A">
        <w:rPr>
          <w:color w:val="156082" w:themeColor="accent1"/>
          <w:lang w:val="it-IT"/>
        </w:rPr>
        <w:t>Italia</w:t>
      </w:r>
      <w:r w:rsidR="00E9573A">
        <w:rPr>
          <w:color w:val="156082" w:themeColor="accent1"/>
          <w:lang w:val="it-IT"/>
        </w:rPr>
        <w:t>_fatturazione</w:t>
      </w:r>
      <w:proofErr w:type="spellEnd"/>
      <w:r w:rsidR="00E9573A">
        <w:rPr>
          <w:color w:val="156082" w:themeColor="accent1"/>
          <w:lang w:val="it-IT"/>
        </w:rPr>
        <w:t xml:space="preserve"> anomala</w:t>
      </w:r>
    </w:p>
    <w:p w:rsidRPr="009062EF" w:rsidR="00B41DF7" w:rsidP="00B41DF7" w:rsidRDefault="00B41DF7" w14:paraId="56CCA827" w14:textId="77777777">
      <w:pPr>
        <w:pStyle w:val="Paragrafoelenco"/>
        <w:rPr>
          <w:lang w:val="it-IT"/>
        </w:rPr>
      </w:pPr>
    </w:p>
    <w:p w:rsidRPr="008210E2" w:rsidR="00D93ADB" w:rsidP="00B41DF7" w:rsidRDefault="00B41DF7" w14:paraId="78AAC8CF" w14:textId="1B724D55">
      <w:pPr>
        <w:pStyle w:val="Paragrafoelenco"/>
        <w:numPr>
          <w:ilvl w:val="0"/>
          <w:numId w:val="3"/>
        </w:numPr>
        <w:rPr>
          <w:color w:val="FF0000"/>
          <w:highlight w:val="yellow"/>
          <w:u w:val="single"/>
          <w:lang w:val="it-IT"/>
        </w:rPr>
      </w:pPr>
      <w:r w:rsidRPr="008210E2">
        <w:rPr>
          <w:color w:val="FF0000"/>
          <w:highlight w:val="yellow"/>
          <w:u w:val="single"/>
          <w:lang w:val="it-IT"/>
        </w:rPr>
        <w:t>Standard di qualità</w:t>
      </w:r>
    </w:p>
    <w:p w:rsidR="003A6E9D" w:rsidP="00D93ADB" w:rsidRDefault="00E30E15" w14:paraId="1BF7B03A" w14:textId="2CAE49B4">
      <w:pPr>
        <w:rPr>
          <w:lang w:val="it-IT"/>
        </w:rPr>
      </w:pPr>
      <w:r>
        <w:rPr>
          <w:lang w:val="it-IT"/>
        </w:rPr>
        <w:t>“</w:t>
      </w:r>
      <w:r w:rsidR="00A13F28">
        <w:rPr>
          <w:lang w:val="it-IT"/>
        </w:rPr>
        <w:t xml:space="preserve">ARERA </w:t>
      </w:r>
      <w:r w:rsidR="00113BB3">
        <w:rPr>
          <w:lang w:val="it-IT"/>
        </w:rPr>
        <w:t xml:space="preserve">stabilisce livelli di qualità del servizio della vendita </w:t>
      </w:r>
      <w:r w:rsidR="00B05A1A">
        <w:rPr>
          <w:lang w:val="it-IT"/>
        </w:rPr>
        <w:t xml:space="preserve">che gli operatori devono garantire. </w:t>
      </w:r>
    </w:p>
    <w:p w:rsidRPr="00EC3381" w:rsidR="00D93ADB" w:rsidP="00D93ADB" w:rsidRDefault="00B05A1A" w14:paraId="32F8BC50" w14:textId="6C20B760">
      <w:pPr>
        <w:rPr>
          <w:lang w:val="it-IT"/>
        </w:rPr>
      </w:pPr>
      <w:r w:rsidRPr="00B05A1A">
        <w:rPr>
          <w:lang w:val="it-IT"/>
        </w:rPr>
        <w:t xml:space="preserve">Nel caso non siano rispettati </w:t>
      </w:r>
      <w:r w:rsidR="003A6E9D">
        <w:rPr>
          <w:lang w:val="it-IT"/>
        </w:rPr>
        <w:t xml:space="preserve">tali livelli di qualità, in alcune condizioni il </w:t>
      </w:r>
      <w:r w:rsidRPr="00B05A1A">
        <w:rPr>
          <w:lang w:val="it-IT"/>
        </w:rPr>
        <w:t xml:space="preserve">cliente </w:t>
      </w:r>
      <w:r w:rsidR="003A6E9D">
        <w:rPr>
          <w:lang w:val="it-IT"/>
        </w:rPr>
        <w:t>ha diritto a un</w:t>
      </w:r>
      <w:r w:rsidRPr="00B05A1A">
        <w:rPr>
          <w:lang w:val="it-IT"/>
        </w:rPr>
        <w:t xml:space="preserve"> indennizzo automatico, </w:t>
      </w:r>
      <w:r w:rsidRPr="00A9741D" w:rsidR="00A9741D">
        <w:rPr>
          <w:lang w:val="it-IT"/>
        </w:rPr>
        <w:t>il cui valore è stabilità dall’ARERA.</w:t>
      </w:r>
    </w:p>
    <w:p w:rsidRPr="000F0E1E" w:rsidR="00675D3A" w:rsidP="003B561E" w:rsidRDefault="00E30E15" w14:paraId="4BAEEFE4" w14:textId="5534F8B2">
      <w:pPr>
        <w:ind w:left="720" w:hanging="360"/>
        <w:rPr>
          <w:b/>
          <w:bCs/>
          <w:i/>
          <w:iCs/>
          <w:lang w:val="it-IT"/>
        </w:rPr>
      </w:pPr>
      <w:r w:rsidRPr="000F0E1E">
        <w:rPr>
          <w:b/>
          <w:bCs/>
          <w:i/>
          <w:iCs/>
          <w:lang w:val="it-IT"/>
        </w:rPr>
        <w:t>Standard di qualità commerciale della vendita</w:t>
      </w:r>
    </w:p>
    <w:p w:rsidR="00E30E15" w:rsidP="002F5419" w:rsidRDefault="002F5419" w14:paraId="63A66326" w14:textId="3E3A60DC">
      <w:pPr>
        <w:rPr>
          <w:lang w:val="it-IT"/>
        </w:rPr>
      </w:pPr>
      <w:r>
        <w:rPr>
          <w:lang w:val="it-IT"/>
        </w:rPr>
        <w:t>Gli standard di qualità commerciale della vendita sono definiti nel Testo Integrato della Qualità della Vendita (TIQV)</w:t>
      </w:r>
      <w:r w:rsidR="00AB4D7B">
        <w:rPr>
          <w:lang w:val="it-IT"/>
        </w:rPr>
        <w:t xml:space="preserve"> e sono divisi in: </w:t>
      </w:r>
    </w:p>
    <w:p w:rsidR="00AB4D7B" w:rsidP="00AB4D7B" w:rsidRDefault="00AB4D7B" w14:paraId="7BD516BF" w14:textId="6BE43F6C">
      <w:pPr>
        <w:pStyle w:val="Paragrafoelenco"/>
        <w:numPr>
          <w:ilvl w:val="0"/>
          <w:numId w:val="6"/>
        </w:numPr>
        <w:rPr>
          <w:lang w:val="it-IT"/>
        </w:rPr>
      </w:pPr>
      <w:r>
        <w:rPr>
          <w:lang w:val="it-IT"/>
        </w:rPr>
        <w:t>Standard specifici</w:t>
      </w:r>
      <w:r w:rsidR="00433CAA">
        <w:rPr>
          <w:lang w:val="it-IT"/>
        </w:rPr>
        <w:t xml:space="preserve">: definiscono i </w:t>
      </w:r>
      <w:r w:rsidRPr="00433CAA" w:rsidR="00433CAA">
        <w:rPr>
          <w:lang w:val="it-IT"/>
        </w:rPr>
        <w:t>tempi entro cui devo essere effettuate certe prestazioni</w:t>
      </w:r>
    </w:p>
    <w:p w:rsidRPr="00AB4D7B" w:rsidR="00AB4D7B" w:rsidP="00AB4D7B" w:rsidRDefault="00AB4D7B" w14:paraId="7F68054C" w14:textId="7CD73A93">
      <w:pPr>
        <w:pStyle w:val="Paragrafoelenco"/>
        <w:numPr>
          <w:ilvl w:val="0"/>
          <w:numId w:val="6"/>
        </w:numPr>
        <w:rPr>
          <w:lang w:val="it-IT"/>
        </w:rPr>
      </w:pPr>
      <w:r>
        <w:rPr>
          <w:lang w:val="it-IT"/>
        </w:rPr>
        <w:t xml:space="preserve">Standard </w:t>
      </w:r>
      <w:r w:rsidR="00433CAA">
        <w:rPr>
          <w:lang w:val="it-IT"/>
        </w:rPr>
        <w:t xml:space="preserve">generali: </w:t>
      </w:r>
      <w:r w:rsidR="000F0E1E">
        <w:rPr>
          <w:lang w:val="it-IT"/>
        </w:rPr>
        <w:t xml:space="preserve">definiscono il </w:t>
      </w:r>
      <w:r w:rsidRPr="000F0E1E" w:rsidR="000F0E1E">
        <w:rPr>
          <w:lang w:val="it-IT"/>
        </w:rPr>
        <w:t>valore percentuale minimo prestabilito di prestazioni da eseguire entro un tempo massimo</w:t>
      </w:r>
    </w:p>
    <w:p w:rsidR="00675D3A" w:rsidP="00E30E15" w:rsidRDefault="000F0E1E" w14:paraId="5BCA53D5" w14:textId="6718E3C9">
      <w:pPr>
        <w:ind w:left="360" w:hanging="360"/>
        <w:rPr>
          <w:lang w:val="it-IT"/>
        </w:rPr>
      </w:pPr>
      <w:r>
        <w:rPr>
          <w:lang w:val="it-IT"/>
        </w:rPr>
        <w:t xml:space="preserve">Gli standard di qualità a cui Alpiq Energia Italia è soggetto </w:t>
      </w:r>
      <w:r w:rsidR="00D7013D">
        <w:rPr>
          <w:lang w:val="it-IT"/>
        </w:rPr>
        <w:t xml:space="preserve">sono: </w:t>
      </w:r>
    </w:p>
    <w:tbl>
      <w:tblPr>
        <w:tblW w:w="769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1"/>
        <w:gridCol w:w="4062"/>
      </w:tblGrid>
      <w:tr w:rsidRPr="00D7013D" w:rsidR="00D7013D" w:rsidTr="00D7013D" w14:paraId="06BEE19F" w14:textId="77777777">
        <w:trPr>
          <w:trHeight w:val="643"/>
        </w:trPr>
        <w:tc>
          <w:tcPr>
            <w:tcW w:w="3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D9D8D8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D7013D" w:rsidR="00D7013D" w:rsidP="00D7013D" w:rsidRDefault="00D7013D" w14:paraId="2E5C0CDD" w14:textId="77777777">
            <w:pPr>
              <w:ind w:left="720" w:hanging="360"/>
              <w:rPr>
                <w:lang w:val="it-IT"/>
              </w:rPr>
            </w:pPr>
            <w:r w:rsidRPr="00D7013D">
              <w:rPr>
                <w:b/>
                <w:bCs/>
                <w:lang w:val="it-IT"/>
              </w:rPr>
              <w:t>Indicatore</w:t>
            </w:r>
          </w:p>
        </w:tc>
        <w:tc>
          <w:tcPr>
            <w:tcW w:w="40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D9D8D8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D7013D" w:rsidR="00D7013D" w:rsidP="00D7013D" w:rsidRDefault="00D7013D" w14:paraId="1A493D3C" w14:textId="1CF74819">
            <w:pPr>
              <w:ind w:left="720" w:hanging="360"/>
              <w:rPr>
                <w:lang w:val="it-IT"/>
              </w:rPr>
            </w:pPr>
            <w:r w:rsidRPr="00D7013D">
              <w:rPr>
                <w:b/>
                <w:bCs/>
                <w:lang w:val="it-IT"/>
              </w:rPr>
              <w:t>Sta</w:t>
            </w:r>
            <w:r>
              <w:rPr>
                <w:b/>
                <w:bCs/>
                <w:lang w:val="it-IT"/>
              </w:rPr>
              <w:t>n</w:t>
            </w:r>
            <w:r w:rsidRPr="00D7013D">
              <w:rPr>
                <w:b/>
                <w:bCs/>
                <w:lang w:val="it-IT"/>
              </w:rPr>
              <w:t>dard specifico dal 2019</w:t>
            </w:r>
          </w:p>
        </w:tc>
      </w:tr>
      <w:tr w:rsidRPr="00D7013D" w:rsidR="00D7013D" w:rsidTr="00D7013D" w14:paraId="71491E28" w14:textId="77777777">
        <w:trPr>
          <w:trHeight w:val="643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D9D8D8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D7013D" w:rsidR="00D7013D" w:rsidP="00D7013D" w:rsidRDefault="00D7013D" w14:paraId="63E2346D" w14:textId="77777777">
            <w:pPr>
              <w:ind w:left="720" w:hanging="360"/>
              <w:rPr>
                <w:lang w:val="it-IT"/>
              </w:rPr>
            </w:pPr>
            <w:r w:rsidRPr="00D7013D">
              <w:rPr>
                <w:lang w:val="it-IT"/>
              </w:rPr>
              <w:t>Tempo massimo di risposta motivata ai reclami scritti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D9D8D8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D7013D" w:rsidR="00D7013D" w:rsidP="00D7013D" w:rsidRDefault="00D7013D" w14:paraId="0556E2D8" w14:textId="77777777">
            <w:pPr>
              <w:ind w:left="720" w:hanging="360"/>
              <w:rPr>
                <w:lang w:val="it-IT"/>
              </w:rPr>
            </w:pPr>
            <w:r w:rsidRPr="00D7013D">
              <w:rPr>
                <w:lang w:val="it-IT"/>
              </w:rPr>
              <w:t>30 giorni solari</w:t>
            </w:r>
          </w:p>
        </w:tc>
      </w:tr>
      <w:tr w:rsidRPr="00E9573A" w:rsidR="00D7013D" w:rsidTr="00D7013D" w14:paraId="47F3E5AA" w14:textId="77777777">
        <w:trPr>
          <w:trHeight w:val="1047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D9D8D8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D7013D" w:rsidR="00D7013D" w:rsidP="00D7013D" w:rsidRDefault="00D7013D" w14:paraId="1D16CC62" w14:textId="77777777">
            <w:pPr>
              <w:ind w:left="720" w:hanging="360"/>
              <w:rPr>
                <w:lang w:val="it-IT"/>
              </w:rPr>
            </w:pPr>
            <w:r w:rsidRPr="00D7013D">
              <w:rPr>
                <w:lang w:val="it-IT"/>
              </w:rPr>
              <w:t>Tempo massimo di rettifica di fatturazione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D9D8D8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D7013D" w:rsidR="00D7013D" w:rsidP="00D7013D" w:rsidRDefault="00D7013D" w14:paraId="689241C2" w14:textId="77777777">
            <w:pPr>
              <w:ind w:left="720" w:hanging="360"/>
              <w:rPr>
                <w:lang w:val="it-IT"/>
              </w:rPr>
            </w:pPr>
            <w:r w:rsidRPr="00D7013D">
              <w:rPr>
                <w:lang w:val="it-IT"/>
              </w:rPr>
              <w:t>60 giorni solari</w:t>
            </w:r>
          </w:p>
          <w:p w:rsidRPr="00D7013D" w:rsidR="00D7013D" w:rsidP="00D7013D" w:rsidRDefault="00D7013D" w14:paraId="4DF19527" w14:textId="77777777">
            <w:pPr>
              <w:ind w:left="720" w:hanging="360"/>
              <w:rPr>
                <w:lang w:val="it-IT"/>
              </w:rPr>
            </w:pPr>
            <w:r w:rsidRPr="00D7013D">
              <w:rPr>
                <w:lang w:val="it-IT"/>
              </w:rPr>
              <w:t>90 giorni solari per le fatture con periodicità quadrimestrale</w:t>
            </w:r>
          </w:p>
        </w:tc>
      </w:tr>
      <w:tr w:rsidRPr="00D7013D" w:rsidR="00D7013D" w:rsidTr="00D7013D" w14:paraId="7C009BF3" w14:textId="77777777">
        <w:trPr>
          <w:trHeight w:val="643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D9D8D8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D7013D" w:rsidR="00D7013D" w:rsidP="00D7013D" w:rsidRDefault="00D7013D" w14:paraId="72BE8532" w14:textId="77777777">
            <w:pPr>
              <w:ind w:left="720" w:hanging="360"/>
              <w:rPr>
                <w:lang w:val="it-IT"/>
              </w:rPr>
            </w:pPr>
            <w:r w:rsidRPr="00D7013D">
              <w:rPr>
                <w:lang w:val="it-IT"/>
              </w:rPr>
              <w:t>Tempo massimo di rettifica di doppia fatturazione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D9D8D8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D7013D" w:rsidR="00D7013D" w:rsidP="00D7013D" w:rsidRDefault="00D7013D" w14:paraId="72A9ED46" w14:textId="77777777">
            <w:pPr>
              <w:ind w:left="720" w:hanging="360"/>
              <w:rPr>
                <w:lang w:val="it-IT"/>
              </w:rPr>
            </w:pPr>
            <w:r w:rsidRPr="00D7013D">
              <w:rPr>
                <w:lang w:val="it-IT"/>
              </w:rPr>
              <w:t>20 giorni solari</w:t>
            </w:r>
          </w:p>
        </w:tc>
      </w:tr>
    </w:tbl>
    <w:p w:rsidR="00E30E15" w:rsidP="00B20761" w:rsidRDefault="00E30E15" w14:paraId="3E931EB2" w14:textId="77777777">
      <w:pPr>
        <w:ind w:left="360" w:hanging="360"/>
        <w:rPr>
          <w:lang w:val="it-IT"/>
        </w:rPr>
      </w:pPr>
    </w:p>
    <w:p w:rsidRPr="00B20761" w:rsidR="00B20761" w:rsidP="00924C4A" w:rsidRDefault="00B20761" w14:paraId="7D96F9CA" w14:textId="2F1007B4">
      <w:pPr>
        <w:rPr>
          <w:lang w:val="it-IT"/>
        </w:rPr>
      </w:pPr>
      <w:r w:rsidRPr="00B20761">
        <w:rPr>
          <w:lang w:val="it-IT"/>
        </w:rPr>
        <w:t xml:space="preserve">In caso di mancato rispetto degli standard specifici di qualità </w:t>
      </w:r>
      <w:r>
        <w:rPr>
          <w:lang w:val="it-IT"/>
        </w:rPr>
        <w:t>riportati in tabella,</w:t>
      </w:r>
      <w:r w:rsidRPr="00B20761">
        <w:rPr>
          <w:lang w:val="it-IT"/>
        </w:rPr>
        <w:t xml:space="preserve"> il venditore</w:t>
      </w:r>
      <w:r>
        <w:rPr>
          <w:lang w:val="it-IT"/>
        </w:rPr>
        <w:t xml:space="preserve"> </w:t>
      </w:r>
      <w:r w:rsidRPr="00B20761">
        <w:rPr>
          <w:lang w:val="it-IT"/>
        </w:rPr>
        <w:t>corrisponde al cliente finale</w:t>
      </w:r>
      <w:r>
        <w:rPr>
          <w:lang w:val="it-IT"/>
        </w:rPr>
        <w:t xml:space="preserve"> </w:t>
      </w:r>
      <w:r w:rsidRPr="00B20761">
        <w:rPr>
          <w:lang w:val="it-IT"/>
        </w:rPr>
        <w:t xml:space="preserve">un indennizzo automatico base pari a 25 </w:t>
      </w:r>
      <w:proofErr w:type="gramStart"/>
      <w:r w:rsidRPr="00B20761">
        <w:rPr>
          <w:lang w:val="it-IT"/>
        </w:rPr>
        <w:t>Euro</w:t>
      </w:r>
      <w:proofErr w:type="gramEnd"/>
      <w:r w:rsidRPr="00B20761">
        <w:rPr>
          <w:lang w:val="it-IT"/>
        </w:rPr>
        <w:t>.</w:t>
      </w:r>
    </w:p>
    <w:p w:rsidRPr="00B20761" w:rsidR="00B20761" w:rsidP="00924C4A" w:rsidRDefault="00B20761" w14:paraId="4057E8B7" w14:textId="3F226C44">
      <w:pPr>
        <w:rPr>
          <w:lang w:val="it-IT"/>
        </w:rPr>
      </w:pPr>
      <w:r>
        <w:rPr>
          <w:lang w:val="it-IT"/>
        </w:rPr>
        <w:t xml:space="preserve">Tale </w:t>
      </w:r>
      <w:r w:rsidRPr="00B20761">
        <w:rPr>
          <w:lang w:val="it-IT"/>
        </w:rPr>
        <w:t>indennizzo automatico base è crescente in relazione</w:t>
      </w:r>
      <w:r>
        <w:rPr>
          <w:lang w:val="it-IT"/>
        </w:rPr>
        <w:t xml:space="preserve"> </w:t>
      </w:r>
      <w:r w:rsidRPr="00B20761">
        <w:rPr>
          <w:lang w:val="it-IT"/>
        </w:rPr>
        <w:t>al ritardo nell’esecuzione della prestazione come indicato di seguito:</w:t>
      </w:r>
    </w:p>
    <w:p w:rsidRPr="00924C4A" w:rsidR="00924C4A" w:rsidP="00924C4A" w:rsidRDefault="00924C4A" w14:paraId="76E50B92" w14:textId="77777777">
      <w:pPr>
        <w:pStyle w:val="Paragrafoelenco"/>
        <w:numPr>
          <w:ilvl w:val="0"/>
          <w:numId w:val="7"/>
        </w:numPr>
        <w:rPr>
          <w:lang w:val="it-IT"/>
        </w:rPr>
      </w:pPr>
      <w:r w:rsidRPr="00924C4A">
        <w:rPr>
          <w:lang w:val="it-IT"/>
        </w:rPr>
        <w:t>se l’esecuzione della prestazione avviene oltre lo standard, ma entro un tempo doppio dello standard, è corrisposto l’indennizzo automatico base;</w:t>
      </w:r>
    </w:p>
    <w:p w:rsidRPr="00924C4A" w:rsidR="00924C4A" w:rsidP="00924C4A" w:rsidRDefault="00924C4A" w14:paraId="4BF9CD6F" w14:textId="77777777">
      <w:pPr>
        <w:pStyle w:val="Paragrafoelenco"/>
        <w:numPr>
          <w:ilvl w:val="0"/>
          <w:numId w:val="7"/>
        </w:numPr>
        <w:rPr>
          <w:lang w:val="it-IT"/>
        </w:rPr>
      </w:pPr>
      <w:r w:rsidRPr="00924C4A">
        <w:rPr>
          <w:lang w:val="it-IT"/>
        </w:rPr>
        <w:t>se l’esecuzione della prestazione avviene oltre un tempo doppio dello standard, ma entro un tempo triplo dello standard, è corrisposto il doppio dell’indennizzo automatico base;</w:t>
      </w:r>
    </w:p>
    <w:p w:rsidRPr="00924C4A" w:rsidR="00E30E15" w:rsidP="00924C4A" w:rsidRDefault="00924C4A" w14:paraId="5DAF80DF" w14:textId="494AFCA8">
      <w:pPr>
        <w:pStyle w:val="Paragrafoelenco"/>
        <w:numPr>
          <w:ilvl w:val="0"/>
          <w:numId w:val="7"/>
        </w:numPr>
        <w:rPr>
          <w:lang w:val="it-IT"/>
        </w:rPr>
      </w:pPr>
      <w:r w:rsidRPr="00924C4A">
        <w:rPr>
          <w:lang w:val="it-IT"/>
        </w:rPr>
        <w:t>se l’esecuzione della prestazione avviene oltre un tempo triplo dello standard, è corrisposto il triplo dell’indennizzo automatico base.</w:t>
      </w:r>
    </w:p>
    <w:p w:rsidR="00D03DAC" w:rsidP="004423CD" w:rsidRDefault="004423CD" w14:paraId="704C35B8" w14:textId="77777777">
      <w:pPr>
        <w:rPr>
          <w:lang w:val="it-IT"/>
        </w:rPr>
      </w:pPr>
      <w:r w:rsidRPr="004423CD">
        <w:rPr>
          <w:lang w:val="it-IT"/>
        </w:rPr>
        <w:t xml:space="preserve">Nel corso </w:t>
      </w:r>
      <w:r>
        <w:rPr>
          <w:lang w:val="it-IT"/>
        </w:rPr>
        <w:t xml:space="preserve">dello scorso anno, Alpiq Energia Italia </w:t>
      </w:r>
      <w:r w:rsidRPr="004423CD">
        <w:rPr>
          <w:lang w:val="it-IT"/>
        </w:rPr>
        <w:t xml:space="preserve">ha raggiunto il seguente livello generale effettivo di qualità </w:t>
      </w:r>
      <w:r>
        <w:rPr>
          <w:lang w:val="it-IT"/>
        </w:rPr>
        <w:t>con riferimento a</w:t>
      </w:r>
      <w:r w:rsidR="00D03DAC">
        <w:rPr>
          <w:lang w:val="it-IT"/>
        </w:rPr>
        <w:t>i</w:t>
      </w:r>
      <w:r>
        <w:rPr>
          <w:lang w:val="it-IT"/>
        </w:rPr>
        <w:t xml:space="preserve"> target di clienti servit</w:t>
      </w:r>
      <w:r w:rsidR="00D03DAC">
        <w:rPr>
          <w:lang w:val="it-IT"/>
        </w:rPr>
        <w:t xml:space="preserve">i: </w:t>
      </w:r>
    </w:p>
    <w:p w:rsidR="00924C4A" w:rsidP="00D03DAC" w:rsidRDefault="004423CD" w14:paraId="71ABD7E1" w14:textId="01688D50">
      <w:pPr>
        <w:pStyle w:val="Paragrafoelenco"/>
        <w:numPr>
          <w:ilvl w:val="0"/>
          <w:numId w:val="8"/>
        </w:numPr>
        <w:rPr>
          <w:lang w:val="it-IT"/>
        </w:rPr>
      </w:pPr>
      <w:r w:rsidRPr="00D03DAC">
        <w:rPr>
          <w:lang w:val="it-IT"/>
        </w:rPr>
        <w:t xml:space="preserve">clienti finali elettrici </w:t>
      </w:r>
      <w:r w:rsidR="00D03DAC">
        <w:rPr>
          <w:lang w:val="it-IT"/>
        </w:rPr>
        <w:t>Altri Usi Media Tensione: 100% d</w:t>
      </w:r>
      <w:r w:rsidRPr="00D03DAC">
        <w:rPr>
          <w:lang w:val="it-IT"/>
        </w:rPr>
        <w:t xml:space="preserve">i risposte a richieste scritte di informazioni inviate entro il tempo massimo di 30 giorni solari nel settore elettrico </w:t>
      </w:r>
    </w:p>
    <w:p w:rsidRPr="00D03DAC" w:rsidR="00CA23B5" w:rsidP="00CA23B5" w:rsidRDefault="00CA23B5" w14:paraId="4A4C4197" w14:textId="3AFC39BB">
      <w:pPr>
        <w:pStyle w:val="Paragrafoelenco"/>
        <w:numPr>
          <w:ilvl w:val="0"/>
          <w:numId w:val="8"/>
        </w:numPr>
        <w:rPr>
          <w:lang w:val="it-IT"/>
        </w:rPr>
      </w:pPr>
      <w:r w:rsidRPr="00D03DAC">
        <w:rPr>
          <w:lang w:val="it-IT"/>
        </w:rPr>
        <w:t xml:space="preserve">clienti finali </w:t>
      </w:r>
      <w:r>
        <w:rPr>
          <w:lang w:val="it-IT"/>
        </w:rPr>
        <w:t>gas</w:t>
      </w:r>
      <w:r w:rsidRPr="00D03DAC">
        <w:rPr>
          <w:lang w:val="it-IT"/>
        </w:rPr>
        <w:t xml:space="preserve"> </w:t>
      </w:r>
      <w:r>
        <w:rPr>
          <w:lang w:val="it-IT"/>
        </w:rPr>
        <w:t>Altri Usi: 100% d</w:t>
      </w:r>
      <w:r w:rsidRPr="00D03DAC">
        <w:rPr>
          <w:lang w:val="it-IT"/>
        </w:rPr>
        <w:t xml:space="preserve">i risposte a richieste scritte di informazioni inviate entro il tempo massimo di 30 giorni solari nel settore elettrico </w:t>
      </w:r>
    </w:p>
    <w:p w:rsidRPr="00D03DAC" w:rsidR="00CA23B5" w:rsidP="00CA23B5" w:rsidRDefault="00CA23B5" w14:paraId="5FBF55D2" w14:textId="77777777">
      <w:pPr>
        <w:pStyle w:val="Paragrafoelenco"/>
        <w:ind w:left="760"/>
        <w:rPr>
          <w:lang w:val="it-IT"/>
        </w:rPr>
      </w:pPr>
    </w:p>
    <w:p w:rsidRPr="008210E2" w:rsidR="00E30E15" w:rsidP="006B4DEC" w:rsidRDefault="006B4DEC" w14:paraId="78246818" w14:textId="2E339D58">
      <w:pPr>
        <w:pStyle w:val="Paragrafoelenco"/>
        <w:numPr>
          <w:ilvl w:val="0"/>
          <w:numId w:val="3"/>
        </w:numPr>
        <w:rPr>
          <w:color w:val="FF0000"/>
          <w:highlight w:val="yellow"/>
          <w:u w:val="single"/>
          <w:lang w:val="it-IT"/>
        </w:rPr>
      </w:pPr>
      <w:r w:rsidRPr="008210E2">
        <w:rPr>
          <w:color w:val="FF0000"/>
          <w:highlight w:val="yellow"/>
          <w:u w:val="single"/>
          <w:lang w:val="it-IT"/>
        </w:rPr>
        <w:t>Gestione della morosità</w:t>
      </w:r>
      <w:r w:rsidRPr="008210E2" w:rsidR="001304CF">
        <w:rPr>
          <w:color w:val="FF0000"/>
          <w:highlight w:val="yellow"/>
          <w:u w:val="single"/>
          <w:lang w:val="it-IT"/>
        </w:rPr>
        <w:t xml:space="preserve"> e costituzione in mora</w:t>
      </w:r>
      <w:r w:rsidRPr="008210E2" w:rsidR="00E42716">
        <w:rPr>
          <w:color w:val="FF0000"/>
          <w:highlight w:val="yellow"/>
          <w:u w:val="single"/>
          <w:lang w:val="it-IT"/>
        </w:rPr>
        <w:t xml:space="preserve"> </w:t>
      </w:r>
    </w:p>
    <w:p w:rsidR="000D4C83" w:rsidP="001304CF" w:rsidRDefault="001304CF" w14:paraId="15513081" w14:textId="77777777">
      <w:pPr>
        <w:rPr>
          <w:lang w:val="it-IT"/>
        </w:rPr>
      </w:pPr>
      <w:r w:rsidRPr="001304CF">
        <w:rPr>
          <w:lang w:val="it-IT"/>
        </w:rPr>
        <w:t xml:space="preserve">In caso di </w:t>
      </w:r>
      <w:r w:rsidR="004600BB">
        <w:rPr>
          <w:lang w:val="it-IT"/>
        </w:rPr>
        <w:t>significativa</w:t>
      </w:r>
      <w:r w:rsidRPr="001304CF">
        <w:rPr>
          <w:lang w:val="it-IT"/>
        </w:rPr>
        <w:t xml:space="preserve"> condizione di morosità</w:t>
      </w:r>
      <w:r w:rsidR="000D4C83">
        <w:rPr>
          <w:lang w:val="it-IT"/>
        </w:rPr>
        <w:t xml:space="preserve"> il processo di recupero credito di</w:t>
      </w:r>
      <w:r w:rsidRPr="001304CF">
        <w:rPr>
          <w:lang w:val="it-IT"/>
        </w:rPr>
        <w:t xml:space="preserve"> </w:t>
      </w:r>
      <w:r w:rsidR="004600BB">
        <w:rPr>
          <w:lang w:val="it-IT"/>
        </w:rPr>
        <w:t xml:space="preserve">Alpiq Energia Italia </w:t>
      </w:r>
      <w:r w:rsidR="000D4C83">
        <w:rPr>
          <w:lang w:val="it-IT"/>
        </w:rPr>
        <w:t xml:space="preserve">prevede: </w:t>
      </w:r>
    </w:p>
    <w:p w:rsidR="000D4C83" w:rsidP="000D4C83" w:rsidRDefault="000D4C83" w14:paraId="3C7B7514" w14:textId="60058078">
      <w:pPr>
        <w:pStyle w:val="Paragrafoelenco"/>
        <w:numPr>
          <w:ilvl w:val="0"/>
          <w:numId w:val="20"/>
        </w:numPr>
        <w:rPr>
          <w:lang w:val="it-IT"/>
        </w:rPr>
      </w:pPr>
      <w:r>
        <w:rPr>
          <w:lang w:val="it-IT"/>
        </w:rPr>
        <w:t xml:space="preserve">Dopo 3 giorni </w:t>
      </w:r>
      <w:r w:rsidR="006C69CE">
        <w:rPr>
          <w:lang w:val="it-IT"/>
        </w:rPr>
        <w:t>dalla scadenza dei termini di pagamento</w:t>
      </w:r>
      <w:r>
        <w:rPr>
          <w:lang w:val="it-IT"/>
        </w:rPr>
        <w:t xml:space="preserve">: primo solletico </w:t>
      </w:r>
    </w:p>
    <w:p w:rsidR="006C69CE" w:rsidP="000D4C83" w:rsidRDefault="000D4C83" w14:paraId="48287AF6" w14:textId="6FCE0AD0">
      <w:pPr>
        <w:pStyle w:val="Paragrafoelenco"/>
        <w:numPr>
          <w:ilvl w:val="0"/>
          <w:numId w:val="20"/>
        </w:numPr>
        <w:rPr>
          <w:lang w:val="it-IT"/>
        </w:rPr>
      </w:pPr>
      <w:r>
        <w:rPr>
          <w:lang w:val="it-IT"/>
        </w:rPr>
        <w:t xml:space="preserve">Dopo </w:t>
      </w:r>
      <w:r w:rsidR="006C69CE">
        <w:rPr>
          <w:lang w:val="it-IT"/>
        </w:rPr>
        <w:t xml:space="preserve">10 giorni dalla scadenza dei termini di pagamento: secondo sollecito </w:t>
      </w:r>
    </w:p>
    <w:p w:rsidRPr="000D4C83" w:rsidR="001304CF" w:rsidP="000D4C83" w:rsidRDefault="006C69CE" w14:paraId="18E8D23B" w14:textId="02F6F24F">
      <w:pPr>
        <w:pStyle w:val="Paragrafoelenco"/>
        <w:numPr>
          <w:ilvl w:val="0"/>
          <w:numId w:val="20"/>
        </w:numPr>
        <w:rPr>
          <w:lang w:val="it-IT"/>
        </w:rPr>
      </w:pPr>
      <w:r>
        <w:rPr>
          <w:lang w:val="it-IT"/>
        </w:rPr>
        <w:t xml:space="preserve">Dopo 17 giorni dalla scadenza dei termini di pagamento: </w:t>
      </w:r>
      <w:r w:rsidRPr="000D4C83" w:rsidR="004600BB">
        <w:rPr>
          <w:lang w:val="it-IT"/>
        </w:rPr>
        <w:t>formale costituzione in mora</w:t>
      </w:r>
    </w:p>
    <w:p w:rsidRPr="001304CF" w:rsidR="001304CF" w:rsidP="006212DF" w:rsidRDefault="001304CF" w14:paraId="32806B59" w14:textId="5974D6B1">
      <w:pPr>
        <w:rPr>
          <w:lang w:val="it-IT"/>
        </w:rPr>
      </w:pPr>
      <w:r w:rsidRPr="008210E2">
        <w:rPr>
          <w:lang w:val="it-IT"/>
        </w:rPr>
        <w:t>Il pagamento delle somme intimate nella comunicazione di messa in mora verrà richiesto entro</w:t>
      </w:r>
      <w:r w:rsidRPr="008210E2" w:rsidR="006212DF">
        <w:rPr>
          <w:lang w:val="it-IT"/>
        </w:rPr>
        <w:t xml:space="preserve"> </w:t>
      </w:r>
      <w:proofErr w:type="gramStart"/>
      <w:r w:rsidRPr="008210E2" w:rsidR="008E3ACA">
        <w:rPr>
          <w:lang w:val="it-IT"/>
        </w:rPr>
        <w:t>10</w:t>
      </w:r>
      <w:proofErr w:type="gramEnd"/>
      <w:r w:rsidRPr="008210E2" w:rsidR="006212DF">
        <w:rPr>
          <w:lang w:val="it-IT"/>
        </w:rPr>
        <w:t xml:space="preserve"> giorni</w:t>
      </w:r>
      <w:r w:rsidRPr="008210E2" w:rsidR="00304405">
        <w:rPr>
          <w:lang w:val="it-IT"/>
        </w:rPr>
        <w:t xml:space="preserve"> e, in costanza di mora, </w:t>
      </w:r>
      <w:r w:rsidRPr="008210E2" w:rsidR="00E969B5">
        <w:rPr>
          <w:lang w:val="it-IT"/>
        </w:rPr>
        <w:t xml:space="preserve">Alpiq Energia Italia si riserva il diritto di </w:t>
      </w:r>
      <w:r w:rsidRPr="008210E2" w:rsidR="00304405">
        <w:rPr>
          <w:lang w:val="it-IT"/>
        </w:rPr>
        <w:t>invia</w:t>
      </w:r>
      <w:r w:rsidRPr="008210E2" w:rsidR="00E969B5">
        <w:rPr>
          <w:lang w:val="it-IT"/>
        </w:rPr>
        <w:t>re</w:t>
      </w:r>
      <w:r w:rsidRPr="008210E2" w:rsidR="00304405">
        <w:rPr>
          <w:lang w:val="it-IT"/>
        </w:rPr>
        <w:t xml:space="preserve"> richiesta di sospensione </w:t>
      </w:r>
      <w:r w:rsidRPr="008210E2" w:rsidR="00E969B5">
        <w:rPr>
          <w:lang w:val="it-IT"/>
        </w:rPr>
        <w:t>della fornitura</w:t>
      </w:r>
      <w:r w:rsidRPr="008210E2" w:rsidR="00DE4D33">
        <w:rPr>
          <w:lang w:val="it-IT"/>
        </w:rPr>
        <w:t>.</w:t>
      </w:r>
      <w:r w:rsidR="00DE4D33">
        <w:rPr>
          <w:lang w:val="it-IT"/>
        </w:rPr>
        <w:t xml:space="preserve"> </w:t>
      </w:r>
    </w:p>
    <w:p w:rsidR="00D96DA5" w:rsidP="001304CF" w:rsidRDefault="00E969B5" w14:paraId="596FABF4" w14:textId="77777777">
      <w:pPr>
        <w:rPr>
          <w:lang w:val="it-IT"/>
        </w:rPr>
      </w:pPr>
      <w:r>
        <w:rPr>
          <w:lang w:val="it-IT"/>
        </w:rPr>
        <w:t xml:space="preserve">Nel caso Alpiq Energia Italia </w:t>
      </w:r>
      <w:r w:rsidRPr="001304CF" w:rsidR="001304CF">
        <w:rPr>
          <w:lang w:val="it-IT"/>
        </w:rPr>
        <w:t>non rispett</w:t>
      </w:r>
      <w:r w:rsidR="00D96DA5">
        <w:rPr>
          <w:lang w:val="it-IT"/>
        </w:rPr>
        <w:t xml:space="preserve">i </w:t>
      </w:r>
      <w:r w:rsidRPr="001304CF" w:rsidR="001304CF">
        <w:rPr>
          <w:lang w:val="it-IT"/>
        </w:rPr>
        <w:t>la disciplina in materia, il cliente ha diritto a beneficiare di un indennizzo automatico pari a</w:t>
      </w:r>
      <w:r w:rsidR="00D96DA5">
        <w:rPr>
          <w:lang w:val="it-IT"/>
        </w:rPr>
        <w:t xml:space="preserve">: </w:t>
      </w:r>
    </w:p>
    <w:p w:rsidRPr="00572411" w:rsidR="00572411" w:rsidP="00572411" w:rsidRDefault="00572411" w14:paraId="2450497B" w14:textId="5F87727D">
      <w:pPr>
        <w:pStyle w:val="Paragrafoelenco"/>
        <w:numPr>
          <w:ilvl w:val="0"/>
          <w:numId w:val="11"/>
        </w:numPr>
        <w:rPr>
          <w:lang w:val="it-IT"/>
        </w:rPr>
      </w:pPr>
      <w:r w:rsidRPr="00572411">
        <w:rPr>
          <w:lang w:val="it-IT"/>
        </w:rPr>
        <w:t xml:space="preserve">euro 30 nel caso in cui sia stata effettuata una riduzione di potenza o la fornitura sia stata sospesa per morosità nonostante il mancato invio della comunicazione di costituzione in mora; </w:t>
      </w:r>
    </w:p>
    <w:p w:rsidR="00572411" w:rsidP="00572411" w:rsidRDefault="00572411" w14:paraId="1DF1F5E7" w14:textId="77777777">
      <w:pPr>
        <w:pStyle w:val="Paragrafoelenco"/>
        <w:numPr>
          <w:ilvl w:val="0"/>
          <w:numId w:val="11"/>
        </w:numPr>
        <w:rPr>
          <w:lang w:val="it-IT"/>
        </w:rPr>
      </w:pPr>
      <w:r w:rsidRPr="00572411">
        <w:rPr>
          <w:lang w:val="it-IT"/>
        </w:rPr>
        <w:t xml:space="preserve">euro 20 nel caso in cui sia stata effettuata una riduzione di potenza o la fornitura sia stata sospesa per morosità nonostante alternativamente: </w:t>
      </w:r>
    </w:p>
    <w:p w:rsidR="00572411" w:rsidP="00572411" w:rsidRDefault="00572411" w14:paraId="689A32EA" w14:textId="77777777">
      <w:pPr>
        <w:pStyle w:val="Paragrafoelenco"/>
        <w:numPr>
          <w:ilvl w:val="0"/>
          <w:numId w:val="13"/>
        </w:numPr>
        <w:rPr>
          <w:lang w:val="it-IT"/>
        </w:rPr>
      </w:pPr>
      <w:r w:rsidRPr="00572411">
        <w:rPr>
          <w:lang w:val="it-IT"/>
        </w:rPr>
        <w:t xml:space="preserve">il mancato rispetto del termine ultimo entro cui il cliente è tenuto a provvedere al pagamento; </w:t>
      </w:r>
    </w:p>
    <w:p w:rsidRPr="00572411" w:rsidR="001304CF" w:rsidP="00572411" w:rsidRDefault="00572411" w14:paraId="21A29238" w14:textId="37096F6C">
      <w:pPr>
        <w:pStyle w:val="Paragrafoelenco"/>
        <w:numPr>
          <w:ilvl w:val="0"/>
          <w:numId w:val="13"/>
        </w:numPr>
        <w:rPr>
          <w:lang w:val="it-IT"/>
        </w:rPr>
      </w:pPr>
      <w:r w:rsidRPr="00572411">
        <w:rPr>
          <w:lang w:val="it-IT"/>
        </w:rPr>
        <w:t>il mancato rispetto del termine minimo tra la data di scadenza del termine ultimo di pagamento e la data di richiesta all’impresa distributrice per la sospensione della fornitura o riduzione della potenza</w:t>
      </w:r>
      <w:r w:rsidRPr="00572411" w:rsidR="001304CF">
        <w:rPr>
          <w:lang w:val="it-IT"/>
        </w:rPr>
        <w:br/>
      </w:r>
      <w:r w:rsidRPr="00572411" w:rsidR="001304CF">
        <w:rPr>
          <w:lang w:val="it-IT"/>
        </w:rPr>
        <w:t> </w:t>
      </w:r>
    </w:p>
    <w:p w:rsidR="00B72160" w:rsidP="00B72160" w:rsidRDefault="001304CF" w14:paraId="61ECFFF5" w14:textId="77777777">
      <w:pPr>
        <w:rPr>
          <w:lang w:val="it-IT"/>
        </w:rPr>
      </w:pPr>
      <w:r w:rsidRPr="001304CF">
        <w:rPr>
          <w:lang w:val="it-IT"/>
        </w:rPr>
        <w:t xml:space="preserve">L’indennizzo verrà corrisposto al cliente </w:t>
      </w:r>
      <w:r w:rsidRPr="00B72160" w:rsidR="00B72160">
        <w:rPr>
          <w:lang w:val="it-IT"/>
        </w:rPr>
        <w:t>direttamente o in occasione della prima fattura utile, attraverso detrazione dall’importo addebitato nella medesima fattura</w:t>
      </w:r>
      <w:r w:rsidR="00B72160">
        <w:rPr>
          <w:lang w:val="it-IT"/>
        </w:rPr>
        <w:t>.</w:t>
      </w:r>
    </w:p>
    <w:p w:rsidRPr="001304CF" w:rsidR="001304CF" w:rsidP="00B72160" w:rsidRDefault="001304CF" w14:paraId="6833BE79" w14:textId="5C2432CB">
      <w:pPr>
        <w:rPr>
          <w:lang w:val="it-IT"/>
        </w:rPr>
      </w:pPr>
      <w:r w:rsidRPr="001304CF">
        <w:rPr>
          <w:lang w:val="it-IT"/>
        </w:rPr>
        <w:t>Ulteriori chiarimenti sono disponibili su </w:t>
      </w:r>
      <w:hyperlink w:tgtFrame="_blank" w:history="1" r:id="rId8">
        <w:r w:rsidRPr="001304CF">
          <w:rPr>
            <w:rStyle w:val="Collegamentoipertestuale"/>
            <w:color w:val="auto"/>
            <w:u w:val="none"/>
            <w:lang w:val="it-IT"/>
          </w:rPr>
          <w:t>www.arera.it</w:t>
        </w:r>
      </w:hyperlink>
    </w:p>
    <w:p w:rsidRPr="008210E2" w:rsidR="001304CF" w:rsidP="000D4E05" w:rsidRDefault="000D4E05" w14:paraId="2B4789D9" w14:textId="2E757148">
      <w:pPr>
        <w:pStyle w:val="Paragrafoelenco"/>
        <w:numPr>
          <w:ilvl w:val="0"/>
          <w:numId w:val="3"/>
        </w:numPr>
        <w:rPr>
          <w:color w:val="FF0000"/>
          <w:highlight w:val="yellow"/>
          <w:u w:val="single"/>
          <w:lang w:val="it-IT"/>
        </w:rPr>
      </w:pPr>
      <w:r w:rsidRPr="008210E2">
        <w:rPr>
          <w:color w:val="FF0000"/>
          <w:highlight w:val="yellow"/>
          <w:u w:val="single"/>
          <w:lang w:val="it-IT"/>
        </w:rPr>
        <w:t>Accertamenti della sicurezza post contatore</w:t>
      </w:r>
    </w:p>
    <w:p w:rsidRPr="00D8594C" w:rsidR="00D8594C" w:rsidP="00D8594C" w:rsidRDefault="00D8594C" w14:paraId="722628BA" w14:textId="77777777">
      <w:pPr>
        <w:rPr>
          <w:lang w:val="it-IT"/>
        </w:rPr>
      </w:pPr>
      <w:r w:rsidRPr="00D8594C">
        <w:rPr>
          <w:lang w:val="it-IT"/>
        </w:rPr>
        <w:t>La delibera ARERA 40/2014/r/ gas ha introdotto nuove disposizioni in materia di accertamenti della sicurezza degli impianti di utenza a gas.</w:t>
      </w:r>
    </w:p>
    <w:p w:rsidRPr="00D8594C" w:rsidR="00D8594C" w:rsidP="00D8594C" w:rsidRDefault="00D8594C" w14:paraId="3CF56932" w14:textId="0A16B374">
      <w:pPr>
        <w:rPr>
          <w:lang w:val="it-IT"/>
        </w:rPr>
      </w:pPr>
      <w:r w:rsidRPr="00D8594C">
        <w:rPr>
          <w:lang w:val="it-IT"/>
        </w:rPr>
        <w:t xml:space="preserve">Come richiesto dalla delibera, </w:t>
      </w:r>
      <w:r>
        <w:rPr>
          <w:lang w:val="it-IT"/>
        </w:rPr>
        <w:t>vengono pubblicati</w:t>
      </w:r>
      <w:r w:rsidRPr="00D8594C">
        <w:rPr>
          <w:lang w:val="it-IT"/>
        </w:rPr>
        <w:t>:</w:t>
      </w:r>
    </w:p>
    <w:p w:rsidRPr="00D8594C" w:rsidR="00D8594C" w:rsidP="008C7E78" w:rsidRDefault="00D8594C" w14:paraId="2DD1864C" w14:textId="02FFC2A1">
      <w:pPr>
        <w:pStyle w:val="Paragrafoelenco"/>
        <w:numPr>
          <w:ilvl w:val="0"/>
          <w:numId w:val="16"/>
        </w:numPr>
        <w:rPr>
          <w:color w:val="156082" w:themeColor="accent1"/>
          <w:lang w:val="it-IT"/>
        </w:rPr>
      </w:pPr>
      <w:r w:rsidRPr="00D8594C">
        <w:rPr>
          <w:color w:val="156082" w:themeColor="accent1"/>
          <w:lang w:val="it-IT"/>
        </w:rPr>
        <w:t>Allegato</w:t>
      </w:r>
      <w:r w:rsidR="00A62DEB">
        <w:rPr>
          <w:color w:val="156082" w:themeColor="accent1"/>
          <w:lang w:val="it-IT"/>
        </w:rPr>
        <w:t xml:space="preserve">: </w:t>
      </w:r>
      <w:r w:rsidRPr="00A62DEB" w:rsidR="00A62DEB">
        <w:rPr>
          <w:color w:val="156082" w:themeColor="accent1"/>
          <w:lang w:val="it-IT"/>
        </w:rPr>
        <w:t>allegato-informativo-per-richieste-di-preventivazione-di-lavori-pervenute-al-venditore.pdf</w:t>
      </w:r>
    </w:p>
    <w:p w:rsidR="00D8594C" w:rsidP="008C7E78" w:rsidRDefault="00D34A01" w14:paraId="5A19D0FF" w14:textId="16460FFE">
      <w:pPr>
        <w:pStyle w:val="Paragrafoelenco"/>
        <w:numPr>
          <w:ilvl w:val="0"/>
          <w:numId w:val="16"/>
        </w:numPr>
        <w:rPr>
          <w:color w:val="156082" w:themeColor="accent1"/>
          <w:lang w:val="it-IT"/>
        </w:rPr>
      </w:pPr>
      <w:r>
        <w:rPr>
          <w:color w:val="156082" w:themeColor="accent1"/>
          <w:lang w:val="it-IT"/>
        </w:rPr>
        <w:t xml:space="preserve">Allegato: </w:t>
      </w:r>
      <w:r w:rsidRPr="00D34A01">
        <w:rPr>
          <w:color w:val="156082" w:themeColor="accent1"/>
          <w:lang w:val="it-IT"/>
        </w:rPr>
        <w:t>linee-guida-11-cig.pdf</w:t>
      </w:r>
    </w:p>
    <w:p w:rsidR="008210E2" w:rsidP="008210E2" w:rsidRDefault="008210E2" w14:paraId="60D17334" w14:textId="77777777">
      <w:pPr>
        <w:rPr>
          <w:color w:val="156082" w:themeColor="accent1"/>
          <w:lang w:val="it-IT"/>
        </w:rPr>
      </w:pPr>
    </w:p>
    <w:p w:rsidRPr="00D8594C" w:rsidR="00D34A01" w:rsidP="00D34A01" w:rsidRDefault="00D34A01" w14:paraId="6F67357A" w14:textId="77777777">
      <w:pPr>
        <w:pStyle w:val="Paragrafoelenco"/>
        <w:ind w:left="1120"/>
        <w:rPr>
          <w:color w:val="156082" w:themeColor="accent1"/>
          <w:lang w:val="it-IT"/>
        </w:rPr>
      </w:pPr>
    </w:p>
    <w:p w:rsidRPr="008210E2" w:rsidR="00E30E15" w:rsidP="00CA7CB9" w:rsidRDefault="00CA7CB9" w14:paraId="35A35E35" w14:textId="395C6059">
      <w:pPr>
        <w:pStyle w:val="Paragrafoelenco"/>
        <w:numPr>
          <w:ilvl w:val="0"/>
          <w:numId w:val="3"/>
        </w:numPr>
        <w:rPr>
          <w:color w:val="FF0000"/>
          <w:highlight w:val="yellow"/>
          <w:u w:val="single"/>
          <w:lang w:val="it-IT"/>
        </w:rPr>
      </w:pPr>
      <w:r w:rsidRPr="008210E2">
        <w:rPr>
          <w:color w:val="FF0000"/>
          <w:highlight w:val="yellow"/>
          <w:u w:val="single"/>
          <w:lang w:val="it-IT"/>
        </w:rPr>
        <w:t>Assicurazione clienti finali</w:t>
      </w:r>
    </w:p>
    <w:p w:rsidR="00CA7CB9" w:rsidP="00CA7CB9" w:rsidRDefault="00CA7CB9" w14:paraId="301238B9" w14:textId="77777777">
      <w:pPr>
        <w:rPr>
          <w:lang w:val="it-IT"/>
        </w:rPr>
      </w:pPr>
      <w:r w:rsidRPr="00F37AAA">
        <w:rPr>
          <w:lang w:val="it-IT"/>
        </w:rPr>
        <w:t xml:space="preserve">Chiunque usi, anche occasionalmente, gas naturale o altro tipo di gas fornito tramite reti di distribuzione urbana o reti di trasporto, beneficia in via automatica di una copertura assicurativa contro gli incidenti da gas, ai sensi della deliberazione 85/2024/R/gas dell’Autorità di Regolazione per Energia Reti e Ambiente. </w:t>
      </w:r>
    </w:p>
    <w:p w:rsidR="00CA7CB9" w:rsidP="00CA7CB9" w:rsidRDefault="00CA7CB9" w14:paraId="74C8E51F" w14:textId="77777777">
      <w:pPr>
        <w:rPr>
          <w:lang w:val="it-IT"/>
        </w:rPr>
      </w:pPr>
      <w:r w:rsidRPr="00F37AAA">
        <w:rPr>
          <w:lang w:val="it-IT"/>
        </w:rPr>
        <w:t xml:space="preserve">La copertura assicurativa è valida su tutto il territorio nazionale; da essa sono esclusi: </w:t>
      </w:r>
    </w:p>
    <w:p w:rsidR="00CA7CB9" w:rsidP="00CA7CB9" w:rsidRDefault="00CA7CB9" w14:paraId="5BBC3977" w14:textId="77777777">
      <w:pPr>
        <w:pStyle w:val="Paragrafoelenco"/>
        <w:numPr>
          <w:ilvl w:val="0"/>
          <w:numId w:val="8"/>
        </w:numPr>
        <w:rPr>
          <w:lang w:val="it-IT"/>
        </w:rPr>
      </w:pPr>
      <w:r w:rsidRPr="00CA7CB9">
        <w:rPr>
          <w:lang w:val="it-IT"/>
        </w:rPr>
        <w:t xml:space="preserve">i clienti finali di gas metano diversi dai clienti domestici o condominiali domestici dotati di un misuratore di classe superiore a G25 (la classe del misuratore è indicata in bolletta); </w:t>
      </w:r>
    </w:p>
    <w:p w:rsidR="00CA7CB9" w:rsidP="00CA7CB9" w:rsidRDefault="00CA7CB9" w14:paraId="3C082057" w14:textId="77777777">
      <w:pPr>
        <w:pStyle w:val="Paragrafoelenco"/>
        <w:numPr>
          <w:ilvl w:val="0"/>
          <w:numId w:val="8"/>
        </w:numPr>
        <w:rPr>
          <w:lang w:val="it-IT"/>
        </w:rPr>
      </w:pPr>
      <w:r w:rsidRPr="00CA7CB9">
        <w:rPr>
          <w:lang w:val="it-IT"/>
        </w:rPr>
        <w:t xml:space="preserve">i consumatori di gas metano per autotrazione. </w:t>
      </w:r>
    </w:p>
    <w:p w:rsidR="00CA7CB9" w:rsidP="00CA7CB9" w:rsidRDefault="00CA7CB9" w14:paraId="6AFDCA85" w14:textId="77777777">
      <w:pPr>
        <w:rPr>
          <w:lang w:val="it-IT"/>
        </w:rPr>
      </w:pPr>
      <w:r w:rsidRPr="00CA7CB9">
        <w:rPr>
          <w:lang w:val="it-IT"/>
        </w:rPr>
        <w:t xml:space="preserve">Le garanzie prestate riguardano: la responsabilità civile nei confronti di terzi, gli incendi e gli infortuni, che abbiano origine negli impianti e negli apparecchi a valle del punto di consegna del gas (a valle del contatore). </w:t>
      </w:r>
    </w:p>
    <w:p w:rsidR="00CA7CB9" w:rsidP="00CA7CB9" w:rsidRDefault="00CA7CB9" w14:paraId="6D8BFEC0" w14:textId="77777777">
      <w:pPr>
        <w:rPr>
          <w:lang w:val="it-IT"/>
        </w:rPr>
      </w:pPr>
      <w:r w:rsidRPr="00CA7CB9">
        <w:rPr>
          <w:lang w:val="it-IT"/>
        </w:rPr>
        <w:t xml:space="preserve">L’assicurazione è stipulata dal CIG (Comitato Italiano Gas) per conto dei clienti finali. </w:t>
      </w:r>
    </w:p>
    <w:p w:rsidRPr="00CA7CB9" w:rsidR="00CA7CB9" w:rsidP="00CA7CB9" w:rsidRDefault="00CA7CB9" w14:paraId="16155E5B" w14:textId="254F480E">
      <w:pPr>
        <w:rPr>
          <w:lang w:val="it-IT"/>
        </w:rPr>
      </w:pPr>
      <w:r w:rsidRPr="00CA7CB9">
        <w:rPr>
          <w:lang w:val="it-IT"/>
        </w:rPr>
        <w:t>Per ulteriori dettagli in merito alla copertura assicurativa e alla modulistica da utilizzare per la denuncia di un eventuale sinistro si può contattare lo Sportello per il consumatore energia e ambiente al numero verde 800.166.654 o con le modalità indicate nel sito internet www.arera.it</w:t>
      </w:r>
    </w:p>
    <w:p w:rsidRPr="008C7E78" w:rsidR="00CA7CB9" w:rsidP="008C7E78" w:rsidRDefault="00941B51" w14:paraId="31FEC697" w14:textId="5A6AA4AD">
      <w:pPr>
        <w:pStyle w:val="Paragrafoelenco"/>
        <w:numPr>
          <w:ilvl w:val="0"/>
          <w:numId w:val="16"/>
        </w:numPr>
        <w:rPr>
          <w:color w:val="156082" w:themeColor="accent1"/>
          <w:lang w:val="it-IT"/>
        </w:rPr>
      </w:pPr>
      <w:r>
        <w:rPr>
          <w:color w:val="156082" w:themeColor="accent1"/>
          <w:lang w:val="it-IT"/>
        </w:rPr>
        <w:t xml:space="preserve">Allegato: </w:t>
      </w:r>
      <w:r w:rsidRPr="00941B51">
        <w:rPr>
          <w:color w:val="156082" w:themeColor="accent1"/>
          <w:lang w:val="it-IT"/>
        </w:rPr>
        <w:t>polizza-di-assicurazione.pdf</w:t>
      </w:r>
    </w:p>
    <w:p w:rsidRPr="008C7E78" w:rsidR="008C7E78" w:rsidP="008C7E78" w:rsidRDefault="001C5DC5" w14:paraId="7BB0E00A" w14:textId="12667543">
      <w:pPr>
        <w:pStyle w:val="Paragrafoelenco"/>
        <w:numPr>
          <w:ilvl w:val="0"/>
          <w:numId w:val="16"/>
        </w:numPr>
        <w:rPr>
          <w:color w:val="156082" w:themeColor="accent1"/>
          <w:lang w:val="it-IT"/>
        </w:rPr>
      </w:pPr>
      <w:r>
        <w:rPr>
          <w:color w:val="156082" w:themeColor="accent1"/>
          <w:lang w:val="it-IT"/>
        </w:rPr>
        <w:t xml:space="preserve">Allegato: </w:t>
      </w:r>
      <w:r w:rsidRPr="001C5DC5">
        <w:rPr>
          <w:color w:val="156082" w:themeColor="accent1"/>
          <w:lang w:val="it-IT"/>
        </w:rPr>
        <w:t>modulo-denuncia-sinistri-2025.pdf</w:t>
      </w:r>
    </w:p>
    <w:p w:rsidRPr="00352C17" w:rsidR="00E30E15" w:rsidP="00352C17" w:rsidRDefault="00E30E15" w14:paraId="61B32B2D" w14:textId="77777777">
      <w:pPr>
        <w:pStyle w:val="Paragrafoelenco"/>
        <w:rPr>
          <w:color w:val="FF0000"/>
          <w:u w:val="single"/>
          <w:lang w:val="it-IT"/>
        </w:rPr>
      </w:pPr>
    </w:p>
    <w:p w:rsidRPr="008210E2" w:rsidR="00E30E15" w:rsidP="00352C17" w:rsidRDefault="00352C17" w14:paraId="6D9DC20B" w14:textId="142B08FD">
      <w:pPr>
        <w:pStyle w:val="Paragrafoelenco"/>
        <w:numPr>
          <w:ilvl w:val="0"/>
          <w:numId w:val="3"/>
        </w:numPr>
        <w:rPr>
          <w:color w:val="FF0000"/>
          <w:highlight w:val="yellow"/>
          <w:u w:val="single"/>
          <w:lang w:val="it-IT"/>
        </w:rPr>
      </w:pPr>
      <w:r w:rsidRPr="008210E2">
        <w:rPr>
          <w:color w:val="FF0000"/>
          <w:highlight w:val="yellow"/>
          <w:u w:val="single"/>
          <w:lang w:val="it-IT"/>
        </w:rPr>
        <w:t>Mix Energetico</w:t>
      </w:r>
      <w:r w:rsidRPr="008210E2" w:rsidR="00E42716">
        <w:rPr>
          <w:color w:val="FF0000"/>
          <w:highlight w:val="yellow"/>
          <w:u w:val="single"/>
          <w:lang w:val="it-IT"/>
        </w:rPr>
        <w:t xml:space="preserve"> </w:t>
      </w:r>
    </w:p>
    <w:p w:rsidR="008C7E78" w:rsidP="0029317D" w:rsidRDefault="0029317D" w14:paraId="11F37527" w14:textId="7FB526BA">
      <w:pPr>
        <w:rPr>
          <w:lang w:val="it-IT"/>
        </w:rPr>
      </w:pPr>
      <w:r w:rsidRPr="0029317D">
        <w:rPr>
          <w:lang w:val="it-IT"/>
        </w:rPr>
        <w:t>Di seguito le informazioni relative alla composizione del mix energetico utilizzato per la produzione dell'energia elettrica fornita, come da obbligo imposto dal decreto del Ministero dell'ambiente e della sicurezza energetica 224 del 14 luglio 2023 che stabilisce criteri e modalità di informazione verso i clienti finali.</w:t>
      </w:r>
    </w:p>
    <w:p w:rsidR="00DF6FA4" w:rsidP="0029317D" w:rsidRDefault="00DF6FA4" w14:paraId="352F77E3" w14:textId="77777777">
      <w:pPr>
        <w:rPr>
          <w:lang w:val="it-IT"/>
        </w:rPr>
      </w:pPr>
    </w:p>
    <w:p w:rsidR="00DF6FA4" w:rsidP="0029317D" w:rsidRDefault="00DF6FA4" w14:paraId="05BF9C2F" w14:textId="71454D93">
      <w:pPr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632D896C" wp14:editId="6C7D5B59">
            <wp:extent cx="5888191" cy="1212850"/>
            <wp:effectExtent l="0" t="0" r="0" b="6350"/>
            <wp:docPr id="15863691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596" cy="121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9317D" w:rsidR="00817053" w:rsidP="00817053" w:rsidRDefault="00817053" w14:paraId="572D0637" w14:textId="77777777">
      <w:pPr>
        <w:pStyle w:val="Paragrafoelenco"/>
        <w:ind w:left="1120"/>
        <w:rPr>
          <w:color w:val="156082" w:themeColor="accent1"/>
          <w:lang w:val="it-IT"/>
        </w:rPr>
      </w:pPr>
    </w:p>
    <w:p w:rsidRPr="008210E2" w:rsidR="008C7E78" w:rsidP="00817053" w:rsidRDefault="00817053" w14:paraId="31CF2E3C" w14:textId="27E217C7">
      <w:pPr>
        <w:pStyle w:val="Paragrafoelenco"/>
        <w:numPr>
          <w:ilvl w:val="0"/>
          <w:numId w:val="3"/>
        </w:numPr>
        <w:rPr>
          <w:color w:val="FF0000"/>
          <w:highlight w:val="yellow"/>
          <w:u w:val="single"/>
          <w:lang w:val="it-IT"/>
        </w:rPr>
      </w:pPr>
      <w:r w:rsidRPr="008210E2">
        <w:rPr>
          <w:color w:val="FF0000"/>
          <w:highlight w:val="yellow"/>
          <w:u w:val="single"/>
          <w:lang w:val="it-IT"/>
        </w:rPr>
        <w:t>Piano di emergenza gas</w:t>
      </w:r>
    </w:p>
    <w:p w:rsidRPr="00A613DF" w:rsidR="00A613DF" w:rsidP="00A613DF" w:rsidRDefault="00A613DF" w14:paraId="6D9F0EAB" w14:textId="4BEF02D9">
      <w:pPr>
        <w:rPr>
          <w:lang w:val="it-IT"/>
        </w:rPr>
      </w:pPr>
      <w:r w:rsidRPr="00A613DF">
        <w:rPr>
          <w:lang w:val="it-IT"/>
        </w:rPr>
        <w:t xml:space="preserve">In questa sezione sono riportate le disposizioni del </w:t>
      </w:r>
      <w:r>
        <w:rPr>
          <w:lang w:val="it-IT"/>
        </w:rPr>
        <w:t>DM</w:t>
      </w:r>
      <w:r w:rsidRPr="00A613DF">
        <w:rPr>
          <w:lang w:val="it-IT"/>
        </w:rPr>
        <w:t xml:space="preserve"> 18 dicembre 2019 e </w:t>
      </w:r>
      <w:proofErr w:type="spellStart"/>
      <w:r w:rsidRPr="00A613DF">
        <w:rPr>
          <w:lang w:val="it-IT"/>
        </w:rPr>
        <w:t>ss.mm.ii</w:t>
      </w:r>
      <w:proofErr w:type="spellEnd"/>
      <w:r w:rsidRPr="00A613DF">
        <w:rPr>
          <w:lang w:val="it-IT"/>
        </w:rPr>
        <w:t>. in merito al Piano di emergenza del sistema nazionale del gas naturale.</w:t>
      </w:r>
      <w:r w:rsidRPr="00A613DF">
        <w:rPr>
          <w:lang w:val="it-IT"/>
        </w:rPr>
        <w:br/>
      </w:r>
      <w:r w:rsidRPr="00A613DF">
        <w:rPr>
          <w:lang w:val="it-IT"/>
        </w:rPr>
        <w:t> </w:t>
      </w:r>
      <w:r w:rsidRPr="00A613DF">
        <w:rPr>
          <w:lang w:val="it-IT"/>
        </w:rPr>
        <w:br/>
      </w:r>
      <w:r w:rsidRPr="00A613DF">
        <w:rPr>
          <w:lang w:val="it-IT"/>
        </w:rPr>
        <w:t xml:space="preserve">Il Piano di emergenza prevede </w:t>
      </w:r>
      <w:proofErr w:type="gramStart"/>
      <w:r w:rsidRPr="00A613DF">
        <w:rPr>
          <w:lang w:val="it-IT"/>
        </w:rPr>
        <w:t>3</w:t>
      </w:r>
      <w:proofErr w:type="gramEnd"/>
      <w:r w:rsidRPr="00A613DF">
        <w:rPr>
          <w:lang w:val="it-IT"/>
        </w:rPr>
        <w:t xml:space="preserve"> diversi livelli di crisi: </w:t>
      </w:r>
    </w:p>
    <w:p w:rsidRPr="00A613DF" w:rsidR="00A613DF" w:rsidP="00A613DF" w:rsidRDefault="00A613DF" w14:paraId="0A02B56E" w14:textId="77777777">
      <w:pPr>
        <w:numPr>
          <w:ilvl w:val="0"/>
          <w:numId w:val="17"/>
        </w:numPr>
        <w:rPr>
          <w:lang w:val="it-IT"/>
        </w:rPr>
      </w:pPr>
      <w:proofErr w:type="spellStart"/>
      <w:proofErr w:type="gramStart"/>
      <w:r w:rsidRPr="00A613DF">
        <w:rPr>
          <w:lang w:val="it-IT"/>
        </w:rPr>
        <w:t>pre</w:t>
      </w:r>
      <w:proofErr w:type="spellEnd"/>
      <w:r w:rsidRPr="00A613DF">
        <w:rPr>
          <w:lang w:val="it-IT"/>
        </w:rPr>
        <w:t>-allarme</w:t>
      </w:r>
      <w:proofErr w:type="gramEnd"/>
      <w:r w:rsidRPr="00A613DF">
        <w:rPr>
          <w:lang w:val="it-IT"/>
        </w:rPr>
        <w:t>: possibile deterioramento dell’approvvigionamento in seguito a informazioni concrete, serie e affidabili tanto da far scattare i livelli di allarme o emergenza;</w:t>
      </w:r>
    </w:p>
    <w:p w:rsidRPr="00A613DF" w:rsidR="00A613DF" w:rsidP="00A613DF" w:rsidRDefault="00A613DF" w14:paraId="24F6E174" w14:textId="77777777">
      <w:pPr>
        <w:numPr>
          <w:ilvl w:val="0"/>
          <w:numId w:val="17"/>
        </w:numPr>
        <w:rPr>
          <w:lang w:val="it-IT"/>
        </w:rPr>
      </w:pPr>
      <w:r w:rsidRPr="00A613DF">
        <w:rPr>
          <w:lang w:val="it-IT"/>
        </w:rPr>
        <w:t>allarme: significativo deterioramento dell’approvvigionamento causato da una domanda eccezionalmente elevata o dalla riduzione/interruzione di una o più fonti di approvvigionamento. A questo livello il mercato è però capace di far fronte all’emergenza senza ricorrere a misure diverse rispetto a quelle del mercato stesso; </w:t>
      </w:r>
    </w:p>
    <w:p w:rsidRPr="00A613DF" w:rsidR="00A613DF" w:rsidP="00A613DF" w:rsidRDefault="00A613DF" w14:paraId="2E33E43A" w14:textId="77777777">
      <w:pPr>
        <w:numPr>
          <w:ilvl w:val="0"/>
          <w:numId w:val="17"/>
        </w:numPr>
        <w:rPr>
          <w:lang w:val="it-IT"/>
        </w:rPr>
      </w:pPr>
      <w:r w:rsidRPr="00A613DF">
        <w:rPr>
          <w:lang w:val="it-IT"/>
        </w:rPr>
        <w:t>emergenza: significativo deterioramento dell’approvvigionamento conseguenza di una domanda eccezionalmente elevata o un’alterazione/interruzione delle fonti. A questo livello, nel caso in cui tutte le misure di mercato siano state attuate ma la fornitura di gas sia ancora insufficiente, si provvederà a introdurre delle misure diverse da quelle previste dal mercato stesso</w:t>
      </w:r>
    </w:p>
    <w:p w:rsidRPr="00A613DF" w:rsidR="00A613DF" w:rsidP="009A5E83" w:rsidRDefault="00A613DF" w14:paraId="17C74AAE" w14:textId="3DB2DB5E">
      <w:pPr>
        <w:rPr>
          <w:lang w:val="it-IT"/>
        </w:rPr>
      </w:pPr>
      <w:r w:rsidRPr="00A613DF">
        <w:rPr>
          <w:lang w:val="it-IT"/>
        </w:rPr>
        <w:t xml:space="preserve">Per ogni livello di crisi, il Piano di emergenza definisce </w:t>
      </w:r>
      <w:r w:rsidR="009A5E83">
        <w:rPr>
          <w:lang w:val="it-IT"/>
        </w:rPr>
        <w:t xml:space="preserve">una serie di misure possibilmente attivabili a necessità. </w:t>
      </w:r>
      <w:r w:rsidRPr="00A613DF">
        <w:rPr>
          <w:lang w:val="it-IT"/>
        </w:rPr>
        <w:br/>
      </w:r>
      <w:r w:rsidRPr="00A613DF">
        <w:rPr>
          <w:lang w:val="it-IT"/>
        </w:rPr>
        <w:t> </w:t>
      </w:r>
      <w:r w:rsidRPr="00A613DF">
        <w:rPr>
          <w:lang w:val="it-IT"/>
        </w:rPr>
        <w:br/>
      </w:r>
      <w:r w:rsidRPr="00A613DF">
        <w:rPr>
          <w:lang w:val="it-IT"/>
        </w:rPr>
        <w:t xml:space="preserve">Nei livelli di </w:t>
      </w:r>
      <w:proofErr w:type="spellStart"/>
      <w:proofErr w:type="gramStart"/>
      <w:r w:rsidRPr="00A613DF">
        <w:rPr>
          <w:lang w:val="it-IT"/>
        </w:rPr>
        <w:t>pre</w:t>
      </w:r>
      <w:proofErr w:type="spellEnd"/>
      <w:r w:rsidRPr="00A613DF">
        <w:rPr>
          <w:lang w:val="it-IT"/>
        </w:rPr>
        <w:t>-allarme</w:t>
      </w:r>
      <w:proofErr w:type="gramEnd"/>
      <w:r w:rsidRPr="00A613DF">
        <w:rPr>
          <w:lang w:val="it-IT"/>
        </w:rPr>
        <w:t xml:space="preserve"> e di allarme</w:t>
      </w:r>
      <w:r w:rsidR="0041165C">
        <w:rPr>
          <w:lang w:val="it-IT"/>
        </w:rPr>
        <w:t xml:space="preserve"> tutte le misure di considerate “di mercato” e possono essere scelte tra quelle di seguito: </w:t>
      </w:r>
    </w:p>
    <w:p w:rsidRPr="00A613DF" w:rsidR="00A613DF" w:rsidP="00A613DF" w:rsidRDefault="00A613DF" w14:paraId="5388C53C" w14:textId="77777777">
      <w:pPr>
        <w:numPr>
          <w:ilvl w:val="0"/>
          <w:numId w:val="18"/>
        </w:numPr>
        <w:rPr>
          <w:lang w:val="it-IT"/>
        </w:rPr>
      </w:pPr>
      <w:r w:rsidRPr="00A613DF">
        <w:rPr>
          <w:lang w:val="it-IT"/>
        </w:rPr>
        <w:t>aumento delle importazioni - utilizzando la flessibilità dei contratti in essere;</w:t>
      </w:r>
    </w:p>
    <w:p w:rsidRPr="00A613DF" w:rsidR="00A613DF" w:rsidP="00A613DF" w:rsidRDefault="00A613DF" w14:paraId="41036856" w14:textId="77777777">
      <w:pPr>
        <w:numPr>
          <w:ilvl w:val="0"/>
          <w:numId w:val="18"/>
        </w:numPr>
        <w:rPr>
          <w:lang w:val="it-IT"/>
        </w:rPr>
      </w:pPr>
      <w:r w:rsidRPr="00A613DF">
        <w:rPr>
          <w:lang w:val="it-IT"/>
        </w:rPr>
        <w:t>riduzione della domanda di gas - derivante da contratti rescindibili di natura commerciale;</w:t>
      </w:r>
    </w:p>
    <w:p w:rsidRPr="00A613DF" w:rsidR="00A613DF" w:rsidP="00A613DF" w:rsidRDefault="00A613DF" w14:paraId="3AC68768" w14:textId="77777777">
      <w:pPr>
        <w:numPr>
          <w:ilvl w:val="0"/>
          <w:numId w:val="18"/>
        </w:numPr>
        <w:rPr>
          <w:lang w:val="it-IT"/>
        </w:rPr>
      </w:pPr>
      <w:r w:rsidRPr="00A613DF">
        <w:rPr>
          <w:lang w:val="it-IT"/>
        </w:rPr>
        <w:t>impiego di combustibili di sostituzione alternativi negli impianti industriali - in base a specifici accordi o clausole nei contratti di fornitura;</w:t>
      </w:r>
    </w:p>
    <w:p w:rsidRPr="00A613DF" w:rsidR="00A613DF" w:rsidP="00A613DF" w:rsidRDefault="00A613DF" w14:paraId="6D45644A" w14:textId="77777777">
      <w:pPr>
        <w:numPr>
          <w:ilvl w:val="0"/>
          <w:numId w:val="18"/>
        </w:numPr>
        <w:rPr>
          <w:lang w:val="it-IT"/>
        </w:rPr>
      </w:pPr>
      <w:r w:rsidRPr="00A613DF">
        <w:rPr>
          <w:lang w:val="it-IT"/>
        </w:rPr>
        <w:t>attivazione da parte di Snam dei contratti eventualmente stipulati per la riduzione volontaria della domanda di gas da parte dei clienti finali industriali. </w:t>
      </w:r>
    </w:p>
    <w:p w:rsidR="00396E3C" w:rsidP="0041165C" w:rsidRDefault="00A613DF" w14:paraId="613F1E8D" w14:textId="4D83E0B0">
      <w:pPr>
        <w:rPr>
          <w:lang w:val="it-IT"/>
        </w:rPr>
      </w:pPr>
      <w:r w:rsidRPr="00A613DF">
        <w:rPr>
          <w:lang w:val="it-IT"/>
        </w:rPr>
        <w:t>Nel livello di emergenza, quando tutte le misure di mercato attuate siano risultate insufficienti a ripristinare una fornitura di gas idonea a soddisfare la domanda, l’Autorità competente può attivare con propri provvedimenti misure “non di mercato”.</w:t>
      </w:r>
    </w:p>
    <w:p w:rsidRPr="00A613DF" w:rsidR="00A613DF" w:rsidP="0041165C" w:rsidRDefault="00A613DF" w14:paraId="1A255DFA" w14:textId="426CC144">
      <w:pPr>
        <w:rPr>
          <w:lang w:val="it-IT"/>
        </w:rPr>
      </w:pPr>
      <w:r w:rsidRPr="00A613DF">
        <w:rPr>
          <w:lang w:val="it-IT"/>
        </w:rPr>
        <w:br/>
      </w:r>
      <w:r w:rsidRPr="00A613DF">
        <w:rPr>
          <w:lang w:val="it-IT"/>
        </w:rPr>
        <w:t>Tra  le misure attivabili:</w:t>
      </w:r>
    </w:p>
    <w:p w:rsidRPr="00A613DF" w:rsidR="00A613DF" w:rsidP="00A613DF" w:rsidRDefault="00A613DF" w14:paraId="2692F34C" w14:textId="77777777">
      <w:pPr>
        <w:numPr>
          <w:ilvl w:val="0"/>
          <w:numId w:val="19"/>
        </w:numPr>
        <w:rPr>
          <w:lang w:val="it-IT"/>
        </w:rPr>
      </w:pPr>
      <w:r w:rsidRPr="00A613DF">
        <w:rPr>
          <w:lang w:val="it-IT"/>
        </w:rPr>
        <w:t>interventi per incrementare la disponibilità di gas in rete;</w:t>
      </w:r>
    </w:p>
    <w:p w:rsidRPr="00A613DF" w:rsidR="00A613DF" w:rsidP="0438E6E0" w:rsidRDefault="00A613DF" w14:paraId="6E8C7C47" w14:textId="77777777">
      <w:pPr>
        <w:numPr>
          <w:ilvl w:val="0"/>
          <w:numId w:val="19"/>
        </w:numPr>
        <w:rPr>
          <w:lang w:val="en-US"/>
        </w:rPr>
      </w:pPr>
      <w:r w:rsidRPr="0438E6E0" w:rsidR="00A613DF">
        <w:rPr>
          <w:lang w:val="en-US"/>
        </w:rPr>
        <w:t>utilizzo di stoccaggi di GNL con funzioni di "</w:t>
      </w:r>
      <w:r w:rsidRPr="0438E6E0" w:rsidR="00A613DF">
        <w:rPr>
          <w:i w:val="1"/>
          <w:iCs w:val="1"/>
          <w:lang w:val="en-US"/>
        </w:rPr>
        <w:t>peak</w:t>
      </w:r>
      <w:r w:rsidRPr="0438E6E0" w:rsidR="00A613DF">
        <w:rPr>
          <w:i w:val="1"/>
          <w:iCs w:val="1"/>
          <w:lang w:val="en-US"/>
        </w:rPr>
        <w:t xml:space="preserve"> </w:t>
      </w:r>
      <w:r w:rsidRPr="0438E6E0" w:rsidR="00A613DF">
        <w:rPr>
          <w:i w:val="1"/>
          <w:iCs w:val="1"/>
          <w:lang w:val="en-US"/>
        </w:rPr>
        <w:t>shaving</w:t>
      </w:r>
      <w:r w:rsidRPr="0438E6E0" w:rsidR="00A613DF">
        <w:rPr>
          <w:lang w:val="en-US"/>
        </w:rPr>
        <w:t>";</w:t>
      </w:r>
    </w:p>
    <w:p w:rsidRPr="00A613DF" w:rsidR="00A613DF" w:rsidP="00A613DF" w:rsidRDefault="00A613DF" w14:paraId="1E88AF8C" w14:textId="77777777">
      <w:pPr>
        <w:numPr>
          <w:ilvl w:val="0"/>
          <w:numId w:val="19"/>
        </w:numPr>
        <w:rPr>
          <w:lang w:val="it-IT"/>
        </w:rPr>
      </w:pPr>
      <w:r w:rsidRPr="00A613DF">
        <w:rPr>
          <w:lang w:val="it-IT"/>
        </w:rPr>
        <w:t>applicazione di regole di dispacciamento della produzione di energia elettrica;</w:t>
      </w:r>
    </w:p>
    <w:p w:rsidRPr="00A613DF" w:rsidR="00A613DF" w:rsidP="00A613DF" w:rsidRDefault="00A613DF" w14:paraId="7CC35C28" w14:textId="77777777">
      <w:pPr>
        <w:numPr>
          <w:ilvl w:val="0"/>
          <w:numId w:val="19"/>
        </w:numPr>
        <w:rPr>
          <w:lang w:val="it-IT"/>
        </w:rPr>
      </w:pPr>
      <w:r w:rsidRPr="00A613DF">
        <w:rPr>
          <w:lang w:val="it-IT"/>
        </w:rPr>
        <w:t>utilizzo dello stoccaggio strategico;</w:t>
      </w:r>
    </w:p>
    <w:p w:rsidRPr="00A613DF" w:rsidR="00A613DF" w:rsidP="00A613DF" w:rsidRDefault="00A613DF" w14:paraId="6DB3639D" w14:textId="77777777">
      <w:pPr>
        <w:numPr>
          <w:ilvl w:val="0"/>
          <w:numId w:val="19"/>
        </w:numPr>
        <w:rPr>
          <w:lang w:val="it-IT"/>
        </w:rPr>
      </w:pPr>
      <w:r w:rsidRPr="00A613DF">
        <w:rPr>
          <w:lang w:val="it-IT"/>
        </w:rPr>
        <w:t>definizione di nuove soglie di temperatura;</w:t>
      </w:r>
    </w:p>
    <w:p w:rsidRPr="00A613DF" w:rsidR="00A613DF" w:rsidP="00A613DF" w:rsidRDefault="00A613DF" w14:paraId="16016C42" w14:textId="3D9B9689">
      <w:pPr>
        <w:numPr>
          <w:ilvl w:val="0"/>
          <w:numId w:val="19"/>
        </w:numPr>
        <w:rPr>
          <w:lang w:val="it-IT"/>
        </w:rPr>
      </w:pPr>
      <w:r w:rsidRPr="00A613DF">
        <w:rPr>
          <w:lang w:val="it-IT"/>
        </w:rPr>
        <w:t>riduzione obbligatoria del prelievo di gas dei clienti industriali (attuando, in quanto applicabili, le modalità definite dalla procedura di cui all’articolo 5 del Decreto Ministeriale 11 settembre 2007 recante l’obbligo</w:t>
      </w:r>
      <w:r w:rsidR="00496B04">
        <w:rPr>
          <w:lang w:val="it-IT"/>
        </w:rPr>
        <w:t xml:space="preserve"> </w:t>
      </w:r>
      <w:r w:rsidRPr="00A613DF">
        <w:rPr>
          <w:lang w:val="it-IT"/>
        </w:rPr>
        <w:t>di contribuire al contenimento effettivo dei consumi di gas);</w:t>
      </w:r>
    </w:p>
    <w:p w:rsidRPr="00A613DF" w:rsidR="00A613DF" w:rsidP="00A613DF" w:rsidRDefault="00A613DF" w14:paraId="4FA2DAF2" w14:textId="77777777">
      <w:pPr>
        <w:numPr>
          <w:ilvl w:val="0"/>
          <w:numId w:val="19"/>
        </w:numPr>
        <w:rPr>
          <w:lang w:val="it-IT"/>
        </w:rPr>
      </w:pPr>
      <w:r w:rsidRPr="00A613DF">
        <w:rPr>
          <w:lang w:val="it-IT"/>
        </w:rPr>
        <w:t>sospensione dell’obbligo di fornitura da parte dei venditori verso i clienti non tutelati;</w:t>
      </w:r>
    </w:p>
    <w:p w:rsidR="000259C3" w:rsidP="0438E6E0" w:rsidRDefault="000259C3" w14:paraId="7067B38A" w14:textId="5B63CEBB">
      <w:pPr>
        <w:numPr>
          <w:ilvl w:val="0"/>
          <w:numId w:val="19"/>
        </w:numPr>
        <w:ind/>
        <w:rPr>
          <w:lang w:val="it-IT"/>
        </w:rPr>
      </w:pPr>
      <w:r w:rsidRPr="0438E6E0" w:rsidR="00A613DF">
        <w:rPr>
          <w:lang w:val="it-IT"/>
        </w:rPr>
        <w:t>sospensione della tutela di prezzo</w:t>
      </w:r>
    </w:p>
    <w:p w:rsidR="000259C3" w:rsidP="003B561E" w:rsidRDefault="000259C3" w14:paraId="51862F8A" w14:textId="77777777">
      <w:pPr>
        <w:ind w:left="720" w:hanging="360"/>
        <w:rPr>
          <w:lang w:val="it-IT"/>
        </w:rPr>
      </w:pPr>
    </w:p>
    <w:p w:rsidRPr="003B561E" w:rsidR="007663DF" w:rsidP="006B2BF0" w:rsidRDefault="007663DF" w14:paraId="4AF1DADC" w14:textId="77777777">
      <w:pPr>
        <w:rPr>
          <w:lang w:val="it-IT"/>
        </w:rPr>
      </w:pPr>
    </w:p>
    <w:sectPr w:rsidRPr="003B561E" w:rsidR="007663DF" w:rsidSect="000972A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36FB" w:rsidP="00507DAD" w:rsidRDefault="00F336FB" w14:paraId="409BE0BA" w14:textId="77777777">
      <w:pPr>
        <w:spacing w:after="0" w:line="240" w:lineRule="auto"/>
      </w:pPr>
      <w:r>
        <w:separator/>
      </w:r>
    </w:p>
  </w:endnote>
  <w:endnote w:type="continuationSeparator" w:id="0">
    <w:p w:rsidR="00F336FB" w:rsidP="00507DAD" w:rsidRDefault="00F336FB" w14:paraId="742637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36FB" w:rsidP="00507DAD" w:rsidRDefault="00F336FB" w14:paraId="0A87F41C" w14:textId="77777777">
      <w:pPr>
        <w:spacing w:after="0" w:line="240" w:lineRule="auto"/>
      </w:pPr>
      <w:r>
        <w:separator/>
      </w:r>
    </w:p>
  </w:footnote>
  <w:footnote w:type="continuationSeparator" w:id="0">
    <w:p w:rsidR="00F336FB" w:rsidP="00507DAD" w:rsidRDefault="00F336FB" w14:paraId="235189A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71032"/>
    <w:multiLevelType w:val="hybridMultilevel"/>
    <w:tmpl w:val="E6C488C2"/>
    <w:lvl w:ilvl="0" w:tplc="ED34A3E6">
      <w:start w:val="1"/>
      <w:numFmt w:val="bullet"/>
      <w:lvlText w:val="-"/>
      <w:lvlJc w:val="left"/>
      <w:pPr>
        <w:ind w:left="760" w:hanging="360"/>
      </w:pPr>
      <w:rPr>
        <w:rFonts w:hint="default" w:ascii="Sora" w:hAnsi="Sora" w:cs="Sora" w:eastAsiaTheme="minorHAnsi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1" w15:restartNumberingAfterBreak="0">
    <w:nsid w:val="13D867BD"/>
    <w:multiLevelType w:val="hybridMultilevel"/>
    <w:tmpl w:val="1E8A053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5B208B"/>
    <w:multiLevelType w:val="hybridMultilevel"/>
    <w:tmpl w:val="3CACDC0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7038B1"/>
    <w:multiLevelType w:val="hybridMultilevel"/>
    <w:tmpl w:val="E446061A"/>
    <w:lvl w:ilvl="0" w:tplc="7DE2E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286EFF"/>
    <w:multiLevelType w:val="multilevel"/>
    <w:tmpl w:val="0294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9CA378A"/>
    <w:multiLevelType w:val="multilevel"/>
    <w:tmpl w:val="CA5C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0D871DA"/>
    <w:multiLevelType w:val="multilevel"/>
    <w:tmpl w:val="24FE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0F00992"/>
    <w:multiLevelType w:val="hybridMultilevel"/>
    <w:tmpl w:val="A8D6A7A6"/>
    <w:lvl w:ilvl="0" w:tplc="ED34A3E6">
      <w:start w:val="1"/>
      <w:numFmt w:val="bullet"/>
      <w:lvlText w:val="-"/>
      <w:lvlJc w:val="left"/>
      <w:pPr>
        <w:ind w:left="1120" w:hanging="360"/>
      </w:pPr>
      <w:rPr>
        <w:rFonts w:hint="default" w:ascii="Sora" w:hAnsi="Sora" w:cs="Sora" w:eastAsiaTheme="minorHAnsi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57C5BBE"/>
    <w:multiLevelType w:val="hybridMultilevel"/>
    <w:tmpl w:val="54268B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23E08"/>
    <w:multiLevelType w:val="hybridMultilevel"/>
    <w:tmpl w:val="29BA433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2B29FC"/>
    <w:multiLevelType w:val="multilevel"/>
    <w:tmpl w:val="A5E6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4FE27D0"/>
    <w:multiLevelType w:val="hybridMultilevel"/>
    <w:tmpl w:val="1792A19C"/>
    <w:lvl w:ilvl="0" w:tplc="0410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 w15:restartNumberingAfterBreak="0">
    <w:nsid w:val="65292599"/>
    <w:multiLevelType w:val="multilevel"/>
    <w:tmpl w:val="1712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AFA4F0D"/>
    <w:multiLevelType w:val="hybridMultilevel"/>
    <w:tmpl w:val="B5948D78"/>
    <w:lvl w:ilvl="0" w:tplc="ED34A3E6">
      <w:start w:val="1"/>
      <w:numFmt w:val="bullet"/>
      <w:lvlText w:val="-"/>
      <w:lvlJc w:val="left"/>
      <w:pPr>
        <w:ind w:left="720" w:hanging="360"/>
      </w:pPr>
      <w:rPr>
        <w:rFonts w:hint="default" w:ascii="Sora" w:hAnsi="Sora" w:cs="Sora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D453DB3"/>
    <w:multiLevelType w:val="hybridMultilevel"/>
    <w:tmpl w:val="6FCA0C76"/>
    <w:lvl w:ilvl="0" w:tplc="094C2B52">
      <w:start w:val="2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24500C"/>
    <w:multiLevelType w:val="hybridMultilevel"/>
    <w:tmpl w:val="286C0D52"/>
    <w:lvl w:ilvl="0" w:tplc="0410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6" w15:restartNumberingAfterBreak="0">
    <w:nsid w:val="761B4591"/>
    <w:multiLevelType w:val="multilevel"/>
    <w:tmpl w:val="3FD8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9A16F2D"/>
    <w:multiLevelType w:val="hybridMultilevel"/>
    <w:tmpl w:val="3DF407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47C39"/>
    <w:multiLevelType w:val="hybridMultilevel"/>
    <w:tmpl w:val="31E44944"/>
    <w:lvl w:ilvl="0" w:tplc="ED34A3E6">
      <w:start w:val="1"/>
      <w:numFmt w:val="bullet"/>
      <w:lvlText w:val="-"/>
      <w:lvlJc w:val="left"/>
      <w:pPr>
        <w:ind w:left="720" w:hanging="360"/>
      </w:pPr>
      <w:rPr>
        <w:rFonts w:hint="default" w:ascii="Sora" w:hAnsi="Sora" w:cs="Sora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537166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4711624">
    <w:abstractNumId w:val="14"/>
  </w:num>
  <w:num w:numId="3" w16cid:durableId="1729838648">
    <w:abstractNumId w:val="17"/>
  </w:num>
  <w:num w:numId="4" w16cid:durableId="234898099">
    <w:abstractNumId w:val="8"/>
  </w:num>
  <w:num w:numId="5" w16cid:durableId="757219105">
    <w:abstractNumId w:val="2"/>
  </w:num>
  <w:num w:numId="6" w16cid:durableId="1263611699">
    <w:abstractNumId w:val="18"/>
  </w:num>
  <w:num w:numId="7" w16cid:durableId="2145612870">
    <w:abstractNumId w:val="13"/>
  </w:num>
  <w:num w:numId="8" w16cid:durableId="2056081983">
    <w:abstractNumId w:val="0"/>
  </w:num>
  <w:num w:numId="9" w16cid:durableId="686515943">
    <w:abstractNumId w:val="10"/>
  </w:num>
  <w:num w:numId="10" w16cid:durableId="1013917373">
    <w:abstractNumId w:val="16"/>
  </w:num>
  <w:num w:numId="11" w16cid:durableId="1275791428">
    <w:abstractNumId w:val="9"/>
  </w:num>
  <w:num w:numId="12" w16cid:durableId="1740204150">
    <w:abstractNumId w:val="3"/>
  </w:num>
  <w:num w:numId="13" w16cid:durableId="914514999">
    <w:abstractNumId w:val="11"/>
  </w:num>
  <w:num w:numId="14" w16cid:durableId="1502506414">
    <w:abstractNumId w:val="4"/>
  </w:num>
  <w:num w:numId="15" w16cid:durableId="1720014023">
    <w:abstractNumId w:val="1"/>
  </w:num>
  <w:num w:numId="16" w16cid:durableId="1832258818">
    <w:abstractNumId w:val="7"/>
  </w:num>
  <w:num w:numId="17" w16cid:durableId="1550529457">
    <w:abstractNumId w:val="12"/>
  </w:num>
  <w:num w:numId="18" w16cid:durableId="292831737">
    <w:abstractNumId w:val="5"/>
  </w:num>
  <w:num w:numId="19" w16cid:durableId="1804040877">
    <w:abstractNumId w:val="6"/>
  </w:num>
  <w:num w:numId="20" w16cid:durableId="369838340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1E"/>
    <w:rsid w:val="000259C3"/>
    <w:rsid w:val="000544AA"/>
    <w:rsid w:val="00056875"/>
    <w:rsid w:val="000972A1"/>
    <w:rsid w:val="000D4C83"/>
    <w:rsid w:val="000D4E05"/>
    <w:rsid w:val="000F0E1E"/>
    <w:rsid w:val="00113BB3"/>
    <w:rsid w:val="001304CF"/>
    <w:rsid w:val="00142285"/>
    <w:rsid w:val="00153231"/>
    <w:rsid w:val="001B3C78"/>
    <w:rsid w:val="001C5DC5"/>
    <w:rsid w:val="00220B56"/>
    <w:rsid w:val="00235F1C"/>
    <w:rsid w:val="00241ED2"/>
    <w:rsid w:val="0025154C"/>
    <w:rsid w:val="002807E5"/>
    <w:rsid w:val="0029317D"/>
    <w:rsid w:val="002E7269"/>
    <w:rsid w:val="002F5419"/>
    <w:rsid w:val="00304405"/>
    <w:rsid w:val="00312792"/>
    <w:rsid w:val="00352C17"/>
    <w:rsid w:val="00372779"/>
    <w:rsid w:val="00396E3C"/>
    <w:rsid w:val="003A6E9D"/>
    <w:rsid w:val="003B561E"/>
    <w:rsid w:val="003C5004"/>
    <w:rsid w:val="004051E3"/>
    <w:rsid w:val="0041165C"/>
    <w:rsid w:val="00416288"/>
    <w:rsid w:val="00433CAA"/>
    <w:rsid w:val="004423CD"/>
    <w:rsid w:val="004600BB"/>
    <w:rsid w:val="00496B04"/>
    <w:rsid w:val="00507DAD"/>
    <w:rsid w:val="00521E5F"/>
    <w:rsid w:val="00572411"/>
    <w:rsid w:val="005A042E"/>
    <w:rsid w:val="005D54B7"/>
    <w:rsid w:val="00600B48"/>
    <w:rsid w:val="006141C7"/>
    <w:rsid w:val="006212DF"/>
    <w:rsid w:val="00626106"/>
    <w:rsid w:val="006646BA"/>
    <w:rsid w:val="00675D3A"/>
    <w:rsid w:val="006B2BF0"/>
    <w:rsid w:val="006B4DEC"/>
    <w:rsid w:val="006C69CE"/>
    <w:rsid w:val="006E0BA0"/>
    <w:rsid w:val="007663DF"/>
    <w:rsid w:val="00810A3A"/>
    <w:rsid w:val="00817053"/>
    <w:rsid w:val="008210E2"/>
    <w:rsid w:val="008434FE"/>
    <w:rsid w:val="00881491"/>
    <w:rsid w:val="008C7E78"/>
    <w:rsid w:val="008D7444"/>
    <w:rsid w:val="008E3ACA"/>
    <w:rsid w:val="009062EF"/>
    <w:rsid w:val="00924C4A"/>
    <w:rsid w:val="00934B0B"/>
    <w:rsid w:val="00941B51"/>
    <w:rsid w:val="00975005"/>
    <w:rsid w:val="009A5E83"/>
    <w:rsid w:val="009E286C"/>
    <w:rsid w:val="00A05F90"/>
    <w:rsid w:val="00A13F28"/>
    <w:rsid w:val="00A613DF"/>
    <w:rsid w:val="00A62DEB"/>
    <w:rsid w:val="00A928FA"/>
    <w:rsid w:val="00A9741D"/>
    <w:rsid w:val="00AB4D7B"/>
    <w:rsid w:val="00AF760D"/>
    <w:rsid w:val="00B05A1A"/>
    <w:rsid w:val="00B10C47"/>
    <w:rsid w:val="00B20761"/>
    <w:rsid w:val="00B26E9A"/>
    <w:rsid w:val="00B41DF7"/>
    <w:rsid w:val="00B72160"/>
    <w:rsid w:val="00BB7DAA"/>
    <w:rsid w:val="00C2367E"/>
    <w:rsid w:val="00C650F2"/>
    <w:rsid w:val="00CA23B5"/>
    <w:rsid w:val="00CA7CB9"/>
    <w:rsid w:val="00CC236C"/>
    <w:rsid w:val="00D03DAC"/>
    <w:rsid w:val="00D34A01"/>
    <w:rsid w:val="00D7013D"/>
    <w:rsid w:val="00D71A49"/>
    <w:rsid w:val="00D8512D"/>
    <w:rsid w:val="00D8594C"/>
    <w:rsid w:val="00D93ADB"/>
    <w:rsid w:val="00D96DA5"/>
    <w:rsid w:val="00DB5F8B"/>
    <w:rsid w:val="00DB77BB"/>
    <w:rsid w:val="00DE4D33"/>
    <w:rsid w:val="00DF6FA4"/>
    <w:rsid w:val="00E14E4E"/>
    <w:rsid w:val="00E30E15"/>
    <w:rsid w:val="00E42716"/>
    <w:rsid w:val="00E9573A"/>
    <w:rsid w:val="00E969B5"/>
    <w:rsid w:val="00EC3381"/>
    <w:rsid w:val="00EC5587"/>
    <w:rsid w:val="00EC7D01"/>
    <w:rsid w:val="00F336FB"/>
    <w:rsid w:val="00F37AAA"/>
    <w:rsid w:val="00F576A5"/>
    <w:rsid w:val="00F704E4"/>
    <w:rsid w:val="00F964D6"/>
    <w:rsid w:val="0438E6E0"/>
    <w:rsid w:val="4E4C8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0026"/>
  <w15:chartTrackingRefBased/>
  <w15:docId w15:val="{3DA3E105-94D1-43E0-89E2-231B6E419A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19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B2BF0"/>
  </w:style>
  <w:style w:type="paragraph" w:styleId="Titolo1">
    <w:name w:val="heading 1"/>
    <w:basedOn w:val="Normale"/>
    <w:next w:val="Normale"/>
    <w:link w:val="Titolo1Carattere"/>
    <w:uiPriority w:val="9"/>
    <w:qFormat/>
    <w:rsid w:val="006646BA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A2F4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46BA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46BA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646BA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646BA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646BA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0A2F4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646BA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0A2F4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646BA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0A2F4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6646BA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0A2F41" w:themeColor="accent1" w:themeShade="8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6646BA"/>
    <w:rPr>
      <w:rFonts w:asciiTheme="majorHAnsi" w:hAnsiTheme="majorHAnsi" w:eastAsiaTheme="majorEastAsia" w:cstheme="majorBidi"/>
      <w:color w:val="0A2F41" w:themeColor="accent1" w:themeShade="80"/>
      <w:sz w:val="36"/>
      <w:szCs w:val="36"/>
    </w:rPr>
  </w:style>
  <w:style w:type="character" w:styleId="Titolo2Carattere" w:customStyle="1">
    <w:name w:val="Titolo 2 Carattere"/>
    <w:basedOn w:val="Carpredefinitoparagrafo"/>
    <w:link w:val="Titolo2"/>
    <w:uiPriority w:val="9"/>
    <w:rsid w:val="006646B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rsid w:val="006646BA"/>
    <w:rPr>
      <w:rFonts w:asciiTheme="majorHAnsi" w:hAnsiTheme="majorHAnsi"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rsid w:val="006646BA"/>
    <w:rPr>
      <w:rFonts w:asciiTheme="majorHAnsi" w:hAnsiTheme="majorHAnsi" w:eastAsiaTheme="majorEastAsia" w:cstheme="majorBidi"/>
      <w:color w:val="0F4761" w:themeColor="accent1" w:themeShade="BF"/>
      <w:sz w:val="24"/>
      <w:szCs w:val="24"/>
    </w:rPr>
  </w:style>
  <w:style w:type="character" w:styleId="Titolo5Carattere" w:customStyle="1">
    <w:name w:val="Titolo 5 Carattere"/>
    <w:basedOn w:val="Carpredefinitoparagrafo"/>
    <w:link w:val="Titolo5"/>
    <w:uiPriority w:val="9"/>
    <w:rsid w:val="006646BA"/>
    <w:rPr>
      <w:rFonts w:asciiTheme="majorHAnsi" w:hAnsiTheme="majorHAnsi" w:eastAsiaTheme="majorEastAsia" w:cstheme="majorBidi"/>
      <w:caps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rsid w:val="006646BA"/>
    <w:rPr>
      <w:rFonts w:asciiTheme="majorHAnsi" w:hAnsiTheme="majorHAnsi" w:eastAsiaTheme="majorEastAsia" w:cstheme="majorBidi"/>
      <w:i/>
      <w:iCs/>
      <w:caps/>
      <w:color w:val="0A2F41" w:themeColor="accent1" w:themeShade="80"/>
    </w:rPr>
  </w:style>
  <w:style w:type="character" w:styleId="Titolo7Carattere" w:customStyle="1">
    <w:name w:val="Titolo 7 Carattere"/>
    <w:basedOn w:val="Carpredefinitoparagrafo"/>
    <w:link w:val="Titolo7"/>
    <w:uiPriority w:val="9"/>
    <w:rsid w:val="006646BA"/>
    <w:rPr>
      <w:rFonts w:asciiTheme="majorHAnsi" w:hAnsiTheme="majorHAnsi" w:eastAsiaTheme="majorEastAsia" w:cstheme="majorBidi"/>
      <w:b/>
      <w:bCs/>
      <w:color w:val="0A2F41" w:themeColor="accent1" w:themeShade="80"/>
    </w:rPr>
  </w:style>
  <w:style w:type="character" w:styleId="Titolo8Carattere" w:customStyle="1">
    <w:name w:val="Titolo 8 Carattere"/>
    <w:basedOn w:val="Carpredefinitoparagrafo"/>
    <w:link w:val="Titolo8"/>
    <w:uiPriority w:val="9"/>
    <w:rsid w:val="006646BA"/>
    <w:rPr>
      <w:rFonts w:asciiTheme="majorHAnsi" w:hAnsiTheme="majorHAnsi" w:eastAsiaTheme="majorEastAsia" w:cstheme="majorBidi"/>
      <w:b/>
      <w:bCs/>
      <w:i/>
      <w:iCs/>
      <w:color w:val="0A2F41" w:themeColor="accent1" w:themeShade="80"/>
    </w:rPr>
  </w:style>
  <w:style w:type="character" w:styleId="Titolo9Carattere" w:customStyle="1">
    <w:name w:val="Titolo 9 Carattere"/>
    <w:basedOn w:val="Carpredefinitoparagrafo"/>
    <w:link w:val="Titolo9"/>
    <w:uiPriority w:val="9"/>
    <w:rsid w:val="006646BA"/>
    <w:rPr>
      <w:rFonts w:asciiTheme="majorHAnsi" w:hAnsiTheme="majorHAnsi" w:eastAsiaTheme="majorEastAsia" w:cstheme="majorBidi"/>
      <w:i/>
      <w:iCs/>
      <w:color w:val="0A2F41" w:themeColor="accent1" w:themeShade="80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46BA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0E2841" w:themeColor="text2"/>
      <w:spacing w:val="-15"/>
      <w:sz w:val="72"/>
      <w:szCs w:val="72"/>
    </w:rPr>
  </w:style>
  <w:style w:type="character" w:styleId="TitoloCarattere" w:customStyle="1">
    <w:name w:val="Titolo Carattere"/>
    <w:basedOn w:val="Carpredefinitoparagrafo"/>
    <w:link w:val="Titolo"/>
    <w:uiPriority w:val="10"/>
    <w:rsid w:val="006646BA"/>
    <w:rPr>
      <w:rFonts w:asciiTheme="majorHAnsi" w:hAnsiTheme="majorHAnsi" w:eastAsiaTheme="majorEastAsia" w:cstheme="majorBidi"/>
      <w:caps/>
      <w:color w:val="0E2841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46BA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156082" w:themeColor="accent1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6646BA"/>
    <w:rPr>
      <w:rFonts w:asciiTheme="majorHAnsi" w:hAnsiTheme="majorHAnsi" w:eastAsiaTheme="majorEastAsia" w:cstheme="majorBidi"/>
      <w:color w:val="156082" w:themeColor="accent1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46BA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6646BA"/>
    <w:rPr>
      <w:color w:val="0E2841" w:themeColor="text2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646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46BA"/>
    <w:rPr>
      <w:b/>
      <w:bCs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46BA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0E2841" w:themeColor="text2"/>
      <w:spacing w:val="-6"/>
      <w:sz w:val="32"/>
      <w:szCs w:val="32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6646BA"/>
    <w:rPr>
      <w:rFonts w:asciiTheme="majorHAnsi" w:hAnsiTheme="majorHAnsi" w:eastAsiaTheme="majorEastAsia" w:cstheme="majorBidi"/>
      <w:color w:val="0E2841" w:themeColor="text2"/>
      <w:spacing w:val="-6"/>
      <w:sz w:val="32"/>
      <w:szCs w:val="32"/>
    </w:rPr>
  </w:style>
  <w:style w:type="character" w:styleId="Riferimentointenso">
    <w:name w:val="Intense Reference"/>
    <w:basedOn w:val="Carpredefinitoparagrafo"/>
    <w:uiPriority w:val="32"/>
    <w:qFormat/>
    <w:rsid w:val="006646BA"/>
    <w:rPr>
      <w:b/>
      <w:bCs/>
      <w:smallCaps/>
      <w:color w:val="0E2841" w:themeColor="text2"/>
      <w:u w:val="single"/>
    </w:rPr>
  </w:style>
  <w:style w:type="paragraph" w:styleId="Nessunaspaziatura">
    <w:name w:val="No Spacing"/>
    <w:uiPriority w:val="1"/>
    <w:qFormat/>
    <w:rsid w:val="006646BA"/>
    <w:pPr>
      <w:spacing w:after="0" w:line="240" w:lineRule="auto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6646BA"/>
    <w:pPr>
      <w:spacing w:line="240" w:lineRule="auto"/>
    </w:pPr>
    <w:rPr>
      <w:b/>
      <w:bCs/>
      <w:smallCaps/>
      <w:color w:val="0E2841" w:themeColor="text2"/>
    </w:rPr>
  </w:style>
  <w:style w:type="character" w:styleId="Enfasigrassetto">
    <w:name w:val="Strong"/>
    <w:basedOn w:val="Carpredefinitoparagrafo"/>
    <w:uiPriority w:val="22"/>
    <w:qFormat/>
    <w:rsid w:val="006646BA"/>
    <w:rPr>
      <w:b/>
      <w:bCs/>
    </w:rPr>
  </w:style>
  <w:style w:type="character" w:styleId="Enfasicorsivo">
    <w:name w:val="Emphasis"/>
    <w:basedOn w:val="Carpredefinitoparagrafo"/>
    <w:uiPriority w:val="20"/>
    <w:qFormat/>
    <w:rsid w:val="006646BA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6646BA"/>
    <w:rPr>
      <w:i/>
      <w:iCs/>
      <w:color w:val="595959" w:themeColor="text1" w:themeTint="A6"/>
    </w:rPr>
  </w:style>
  <w:style w:type="character" w:styleId="Riferimentodelicato">
    <w:name w:val="Subtle Reference"/>
    <w:basedOn w:val="Carpredefinitoparagrafo"/>
    <w:uiPriority w:val="31"/>
    <w:qFormat/>
    <w:rsid w:val="006646BA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Titolodellibro">
    <w:name w:val="Book Title"/>
    <w:basedOn w:val="Carpredefinitoparagrafo"/>
    <w:uiPriority w:val="33"/>
    <w:qFormat/>
    <w:rsid w:val="006646BA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46BA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3B561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561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7DAD"/>
    <w:rPr>
      <w:color w:val="96607D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7DAD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507D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7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rera.it/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lpiq Custom">
      <a:majorFont>
        <a:latin typeface="Sora"/>
        <a:ea typeface=""/>
        <a:cs typeface=""/>
      </a:majorFont>
      <a:minorFont>
        <a:latin typeface="So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7A2A2-6EEA-491B-945E-6FCD315A1D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Alpiq 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Nocetti Giulia</dc:creator>
  <keywords/>
  <dc:description/>
  <lastModifiedBy>Utili Barbara</lastModifiedBy>
  <revision>87</revision>
  <dcterms:created xsi:type="dcterms:W3CDTF">2025-02-17T13:46:00.0000000Z</dcterms:created>
  <dcterms:modified xsi:type="dcterms:W3CDTF">2025-03-25T16:47:09.1612102Z</dcterms:modified>
</coreProperties>
</file>